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76" w:rsidRDefault="00131103" w:rsidP="00126A8A">
      <w:pPr>
        <w:pStyle w:val="ListParagraph"/>
        <w:numPr>
          <w:ilvl w:val="1"/>
          <w:numId w:val="4"/>
        </w:numPr>
        <w:spacing w:before="120" w:after="120" w:line="23" w:lineRule="atLeast"/>
        <w:ind w:left="0" w:right="-450" w:firstLine="0"/>
        <w:jc w:val="both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8"/>
        </w:rPr>
        <w:t xml:space="preserve">     </w:t>
      </w:r>
      <w:r w:rsidR="002A1876" w:rsidRPr="00131103">
        <w:rPr>
          <w:rFonts w:ascii="GHEA Grapalat" w:hAnsi="GHEA Grapalat"/>
          <w:b/>
          <w:sz w:val="24"/>
        </w:rPr>
        <w:t>ԿԳՄՍ նախարարություն</w:t>
      </w:r>
    </w:p>
    <w:p w:rsidR="003E7FAA" w:rsidRPr="00131103" w:rsidRDefault="003E7FAA" w:rsidP="00126A8A">
      <w:pPr>
        <w:pStyle w:val="ListParagraph"/>
        <w:spacing w:before="120" w:after="120" w:line="23" w:lineRule="atLeast"/>
        <w:ind w:left="0" w:right="-450"/>
        <w:jc w:val="both"/>
        <w:rPr>
          <w:rFonts w:ascii="GHEA Grapalat" w:hAnsi="GHEA Grapalat"/>
          <w:b/>
          <w:sz w:val="24"/>
        </w:rPr>
      </w:pPr>
    </w:p>
    <w:p w:rsidR="00DD22ED" w:rsidRPr="00131103" w:rsidRDefault="001C5FD0" w:rsidP="00B32086">
      <w:pPr>
        <w:pStyle w:val="ListParagraph"/>
        <w:numPr>
          <w:ilvl w:val="2"/>
          <w:numId w:val="4"/>
        </w:numPr>
        <w:spacing w:before="120" w:after="120" w:line="23" w:lineRule="atLeast"/>
        <w:ind w:left="0" w:right="-360" w:firstLine="0"/>
        <w:jc w:val="both"/>
        <w:rPr>
          <w:rFonts w:ascii="GHEA Grapalat" w:hAnsi="GHEA Grapalat"/>
          <w:sz w:val="28"/>
        </w:rPr>
      </w:pPr>
      <w:r w:rsidRPr="00131103">
        <w:rPr>
          <w:rFonts w:ascii="GHEA Grapalat" w:hAnsi="GHEA Grapalat"/>
          <w:b/>
          <w:sz w:val="24"/>
        </w:rPr>
        <w:t>Սոցիալ-տնտեսական զարգացման հիմնական ուղ</w:t>
      </w:r>
      <w:r w:rsidR="001823A8" w:rsidRPr="00131103">
        <w:rPr>
          <w:rFonts w:ascii="GHEA Grapalat" w:hAnsi="GHEA Grapalat"/>
          <w:b/>
          <w:sz w:val="24"/>
        </w:rPr>
        <w:t>ղ</w:t>
      </w:r>
      <w:r w:rsidRPr="00131103">
        <w:rPr>
          <w:rFonts w:ascii="GHEA Grapalat" w:hAnsi="GHEA Grapalat"/>
          <w:b/>
          <w:sz w:val="24"/>
        </w:rPr>
        <w:t>ությունները</w:t>
      </w:r>
    </w:p>
    <w:p w:rsidR="00131103" w:rsidRPr="00131103" w:rsidRDefault="00131103" w:rsidP="00B32086">
      <w:pPr>
        <w:spacing w:before="120" w:after="120" w:line="23" w:lineRule="atLeast"/>
        <w:ind w:right="-360"/>
        <w:jc w:val="both"/>
        <w:rPr>
          <w:rFonts w:ascii="GHEA Grapalat" w:hAnsi="GHEA Grapalat"/>
          <w:color w:val="BFBFBF" w:themeColor="background1" w:themeShade="BF"/>
        </w:rPr>
      </w:pPr>
      <w:r w:rsidRPr="00131103">
        <w:rPr>
          <w:rFonts w:ascii="GHEA Grapalat" w:hAnsi="GHEA Grapalat"/>
          <w:b/>
          <w:color w:val="BFBFBF" w:themeColor="background1" w:themeShade="BF"/>
        </w:rPr>
        <w:t>ԿՐԹՈՒԹՅՈՒՆ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Կրթությունը մարդու հիմնարար իրավունքն է, և պետության պարտավորությունն է ապահովել համընդհանուր հավասարապես հասանելի, ներառական և որակյալ կրթություն: Հայաստանում կրթության ոլորտը կարևորվում է՝ որպես երկրի կայուն առաջընթացի, մարդկային կապիտալի վերարտադրության ու զարգացման նախապայմաններից մեկը, ուստի այն դասվում է կառավարության ծրագրի գերակայությունների շարքում: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2026 թվականի ընթացքում նախատեսվում է շարունակել կառավարության 2021-2026</w:t>
      </w:r>
      <w:r w:rsidR="00973BCE" w:rsidRPr="0072477E">
        <w:rPr>
          <w:sz w:val="22"/>
          <w:szCs w:val="22"/>
          <w:lang w:val="hy-AM"/>
        </w:rPr>
        <w:t xml:space="preserve"> թվականների</w:t>
      </w:r>
      <w:r w:rsidRPr="0072477E">
        <w:rPr>
          <w:sz w:val="22"/>
          <w:szCs w:val="22"/>
          <w:lang w:val="hy-AM"/>
        </w:rPr>
        <w:t xml:space="preserve"> ծրագրից և ՀՀ կրթության մինչև 2030 թվականի զարգացման պետական ծրագրից բխող գործողությունների ծրագրով սահմանված միջոցառումները: </w:t>
      </w:r>
    </w:p>
    <w:p w:rsidR="001A12A4" w:rsidRPr="0072477E" w:rsidRDefault="001A12A4" w:rsidP="00B32086">
      <w:pPr>
        <w:tabs>
          <w:tab w:val="left" w:pos="0"/>
          <w:tab w:val="left" w:pos="284"/>
        </w:tabs>
        <w:spacing w:before="120" w:after="120" w:line="23" w:lineRule="atLeast"/>
        <w:ind w:right="-360"/>
        <w:jc w:val="both"/>
        <w:rPr>
          <w:rFonts w:ascii="GHEA Grapalat" w:hAnsi="GHEA Grapalat"/>
        </w:rPr>
      </w:pPr>
      <w:r w:rsidRPr="0072477E">
        <w:rPr>
          <w:rFonts w:ascii="GHEA Grapalat" w:hAnsi="GHEA Grapalat"/>
        </w:rPr>
        <w:t>Կրթության ոլորտի գլխավոր հիմնախնդիրը կրթական համակարգի բոլոր մակարդակներում կրթության հասանել</w:t>
      </w:r>
      <w:r w:rsidR="00973BCE" w:rsidRPr="0072477E">
        <w:rPr>
          <w:rFonts w:ascii="GHEA Grapalat" w:hAnsi="GHEA Grapalat"/>
        </w:rPr>
        <w:t>ի</w:t>
      </w:r>
      <w:r w:rsidRPr="0072477E">
        <w:rPr>
          <w:rFonts w:ascii="GHEA Grapalat" w:hAnsi="GHEA Grapalat"/>
        </w:rPr>
        <w:t>ության, որակի և արդյունավետության բարձրացումն է, դրանց համապատասխանեցումը միջազգայնորեն ընդունված չափանիշներին, մատչելի, ներառական և հասանելի կրթության ապահովումը բնակչության բոլոր խավերի համար: Այդ նպատակներին հասնելու համար շարունակվելու են իրականացվել մեծածավալ ծրագրեր` կրթական բոլոր մակարդակներում: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Նախադպրոցական կրթության ոլորտում կշարունակվեն աշխատանքները երեխաների կրթության կազմակերպման, սոցիալական որոշ խմբերի մինչև 5 տարեկան երեխաների նախադպրոցական կրթության ապահովման, նախադպրոցական հաստատությունների շենքային և գույքային պայմանների բարելավման, նախադպրոցական կրթության բովանդակության և որակի բարելավման, կառավարման կատարելագործման, մանկավարժական աշխատողների մասնագիտական զարգացման և վարձատրության փոխկապակցված համակարգի ներդրման, կառավարչական հմտությունների բարելավման</w:t>
      </w:r>
      <w:r w:rsidR="00973BCE" w:rsidRPr="0072477E">
        <w:rPr>
          <w:sz w:val="22"/>
          <w:szCs w:val="22"/>
          <w:lang w:val="hy-AM"/>
        </w:rPr>
        <w:t xml:space="preserve"> </w:t>
      </w:r>
      <w:r w:rsidRPr="0072477E">
        <w:rPr>
          <w:sz w:val="22"/>
          <w:szCs w:val="22"/>
          <w:lang w:val="hy-AM"/>
        </w:rPr>
        <w:t>ուղղությամբ: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Հանրակրթության ոլորտի բարեփոխումները կշարունակվեն հիմնական ուղղություններով՝ միտված սովորողների պարտադիր կրթության որակի բարելավմանը՝ հետևյալ թիրախներով</w:t>
      </w:r>
      <w:r w:rsidRPr="0072477E">
        <w:rPr>
          <w:rFonts w:ascii="Cambria Math" w:hAnsi="Cambria Math" w:cs="Cambria Math"/>
          <w:b/>
          <w:sz w:val="22"/>
          <w:szCs w:val="22"/>
          <w:lang w:val="hy-AM"/>
        </w:rPr>
        <w:t>․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կրթության բովանդակային հենքի՝ առարկայական ծրագրերի և դասագրքերի բովանդակային բարելավում</w:t>
      </w:r>
      <w:r w:rsidRPr="0072477E">
        <w:rPr>
          <w:rFonts w:cs="Cambria Math"/>
          <w:sz w:val="22"/>
          <w:szCs w:val="22"/>
          <w:lang w:val="hy-AM"/>
        </w:rPr>
        <w:t>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ուսուցիչների ատեստավորման, խրախուսման և մասնագիտական զարգացման գործիքակազմի կիրառում,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հանրակրթական ուսումնական հաստատությունների կառավարման արդյունավետության բարձրացում,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ներառական կրթության գործընթացում սովորողակենտրոն և արդյունավետ մեխանիզմների կիրառում,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lastRenderedPageBreak/>
        <w:t xml:space="preserve">հանրապետության պետական դպրոցներում ժամանակակից բնագիտական և ինժեներական լաբորատորիաների ստեղծում՝ էապես բարելավելով կրթության որակը, </w:t>
      </w:r>
      <w:r w:rsidRPr="0072477E">
        <w:rPr>
          <w:rFonts w:cs="Sylfaen"/>
          <w:kern w:val="16"/>
          <w:sz w:val="22"/>
          <w:szCs w:val="22"/>
          <w:lang w:val="hy-AM"/>
        </w:rPr>
        <w:t>հատկապես ԲՏՃՄ ուղղություններով</w:t>
      </w:r>
      <w:r w:rsidRPr="0072477E">
        <w:rPr>
          <w:sz w:val="22"/>
          <w:szCs w:val="22"/>
          <w:lang w:val="hy-AM"/>
        </w:rPr>
        <w:t>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հանրակրթության ոլորտի ենթակառուցվածքների և ուսումնանյութական բազայի արդիականացում՝ առաջնահերթությունը տալով սեյսմակայուն դպրոցաշինությանը, ժամանակակից գույքային հագեցվածությանը և տեղեկատվական տեխնոլոգիաների կիրառությանը։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Արտադպրոցական կրթության ոլորտում կշարունակվի կամավոր ատեստավորման համակարգի ներդրումը՝ ուղղված արտադպրոցական ուսումնական հաստատությունների մանկավարժական աշխատողների վարձատրության բարձրացմանը: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Արհեստագործական և միջին մասնագիտական կրթության ոլորտում նախատեսվում է շարունակել ընդլայնել մասնավորի հետ համագործակցությամբ դուալ ուսուցմամբ կրթական ծրագրերի ստեղծման և ներդրման աշխատանքները </w:t>
      </w:r>
      <w:r w:rsidR="00E97AE0">
        <w:rPr>
          <w:sz w:val="22"/>
          <w:szCs w:val="22"/>
          <w:lang w:val="hy-AM"/>
        </w:rPr>
        <w:t xml:space="preserve">մասնագիտական կրթության ուսումնական </w:t>
      </w:r>
      <w:r w:rsidRPr="0072477E">
        <w:rPr>
          <w:sz w:val="22"/>
          <w:szCs w:val="22"/>
          <w:lang w:val="hy-AM"/>
        </w:rPr>
        <w:t xml:space="preserve"> հաստատություններում, իրականացնել կրթության կազմակերպական և բովանդակային արդիականացում՝ ապահովելով արդյունավետ կապը հասարակության և տնտեսության պահանջներին, ինչպես նաև միջազգային զարգացման միտումներին: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Կշարունակվ</w:t>
      </w:r>
      <w:r w:rsidR="00905267" w:rsidRPr="0072477E">
        <w:rPr>
          <w:sz w:val="22"/>
          <w:szCs w:val="22"/>
          <w:lang w:val="hy-AM"/>
        </w:rPr>
        <w:t>ի</w:t>
      </w:r>
      <w:r w:rsidRPr="0072477E">
        <w:rPr>
          <w:sz w:val="22"/>
          <w:szCs w:val="22"/>
          <w:lang w:val="hy-AM"/>
        </w:rPr>
        <w:t xml:space="preserve"> մանկավարժական աշխատողների վերապատրաստման և ատեստավորման գործընթացը՝ փոխկապակցելով դրանք վարձատրության բարձրացման և հավելավճարների տրամադրման հետ, ինչպես նաև մարզերում գործող </w:t>
      </w:r>
      <w:r w:rsidR="00E97AE0">
        <w:rPr>
          <w:sz w:val="22"/>
          <w:szCs w:val="22"/>
          <w:lang w:val="hy-AM"/>
        </w:rPr>
        <w:t xml:space="preserve">մասնագիտական կրթության ուսումնական </w:t>
      </w:r>
      <w:r w:rsidR="00E97AE0" w:rsidRPr="0072477E">
        <w:rPr>
          <w:sz w:val="22"/>
          <w:szCs w:val="22"/>
          <w:lang w:val="hy-AM"/>
        </w:rPr>
        <w:t xml:space="preserve"> </w:t>
      </w:r>
      <w:r w:rsidRPr="0072477E">
        <w:rPr>
          <w:sz w:val="22"/>
          <w:szCs w:val="22"/>
          <w:lang w:val="hy-AM"/>
        </w:rPr>
        <w:t xml:space="preserve"> հաստատությունների ուսանողներին և մանկավարժական աշխատողներին տրանսպորտային ծախսերի փոխհատուցման տրամադրումը: Ներդրվում է տարակարգի տրամադրման ընթացակարգ, որը ևս մասնագիտական զարգացման և հավելավճարի տրամադրման հնարավորություն է ընձեռում:</w:t>
      </w:r>
    </w:p>
    <w:p w:rsidR="001A12A4" w:rsidRPr="0072477E" w:rsidRDefault="00905267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Կշարունակվի նաև </w:t>
      </w:r>
      <w:r w:rsidR="001A12A4" w:rsidRPr="0072477E">
        <w:rPr>
          <w:sz w:val="22"/>
          <w:szCs w:val="22"/>
          <w:lang w:val="hy-AM"/>
        </w:rPr>
        <w:t>Ղարաբաղից բռնի տեղահանված ուսանողներին կրթաթոշակի տրամադրման քաղաքականությունը</w:t>
      </w:r>
      <w:r w:rsidRPr="0072477E">
        <w:rPr>
          <w:sz w:val="22"/>
          <w:szCs w:val="22"/>
          <w:lang w:val="hy-AM"/>
        </w:rPr>
        <w:t>: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sz w:val="22"/>
          <w:szCs w:val="22"/>
          <w:lang w:val="hy-AM" w:eastAsia="ru-RU"/>
        </w:rPr>
      </w:pPr>
      <w:bookmarkStart w:id="0" w:name="_Toc57655428"/>
      <w:r w:rsidRPr="0072477E">
        <w:rPr>
          <w:sz w:val="22"/>
          <w:szCs w:val="22"/>
          <w:lang w:val="hy-AM"/>
        </w:rPr>
        <w:t>Սփյուռքի ոլորտում իրականացվում է կրթական կարողությունների հզորացման, հայրենագիտական նյութերի բովանդակության բարելավման քաղաքականությունը:</w:t>
      </w:r>
    </w:p>
    <w:p w:rsidR="001A12A4" w:rsidRPr="00CB177D" w:rsidRDefault="001A12A4" w:rsidP="00B32086">
      <w:pPr>
        <w:pStyle w:val="TOC4"/>
        <w:spacing w:before="120" w:after="120" w:line="23" w:lineRule="atLeast"/>
        <w:ind w:right="-360"/>
        <w:jc w:val="both"/>
        <w:rPr>
          <w:b/>
          <w:bCs/>
          <w:sz w:val="22"/>
          <w:szCs w:val="22"/>
          <w:lang w:val="hy-AM"/>
        </w:rPr>
      </w:pPr>
      <w:bookmarkStart w:id="1" w:name="_Toc178356551"/>
      <w:r w:rsidRPr="00CB177D">
        <w:rPr>
          <w:b/>
          <w:bCs/>
          <w:sz w:val="22"/>
          <w:szCs w:val="22"/>
          <w:lang w:val="hy-AM"/>
        </w:rPr>
        <w:t>ԲԱՐՁՐԱԳՈՒՅՆ ՄԱՍՆԱԳԻՏԱԿԱՆ  ԿՐԹՈՒԹՅՈՒՆ ԵՎ ԳԻՏՈՒԹՅՈՒՆ</w:t>
      </w:r>
      <w:bookmarkEnd w:id="1"/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Բարձրագույն մասնագիտական կրթության բնագավառում կիրականացվեն մի շարք միջոցառումներ` ուղղված կրթության որակի բարելավմանը, եվրոպական կրթական տարածքին շարունակական ինտեգրմանը, սոցիալապես խոցելի խավերի համար մասնագիտական կրթության մատչելիության և հասանելիության ապահովմանը՝ կրթաթոշակների տրամադրման նոր մոտեցումների ձևավորման միջոցառումների միջոցով, մասնագիտությունների և որակավորումների ցանկի արդիականացմանը: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Բարձրագույն կրթության ոլորտում նախատեսվող լայնամասշտաբ ծրագրերից մեկը դեռևս 2024 թվականից մեկնարկած «Ակադեմիական քաղաք» ծրագիրն է, որը հանդես է </w:t>
      </w:r>
      <w:r w:rsidR="00DB4FBA" w:rsidRPr="0072477E">
        <w:rPr>
          <w:sz w:val="22"/>
          <w:szCs w:val="22"/>
          <w:lang w:val="hy-AM"/>
        </w:rPr>
        <w:t xml:space="preserve">գալիս </w:t>
      </w:r>
      <w:r w:rsidRPr="0072477E">
        <w:rPr>
          <w:sz w:val="22"/>
          <w:szCs w:val="22"/>
          <w:lang w:val="hy-AM"/>
        </w:rPr>
        <w:t xml:space="preserve">որպես որակյալ բարձրագույն կրթության և հետազոտության համար արդիական կրթական միջավայրի ապահովման կամպուսային կլաստերների համախումբ: 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lastRenderedPageBreak/>
        <w:t xml:space="preserve">2026 թվականին կշարունակվեն </w:t>
      </w:r>
      <w:r w:rsidR="00DB4FBA" w:rsidRPr="0072477E">
        <w:rPr>
          <w:sz w:val="22"/>
          <w:szCs w:val="22"/>
          <w:lang w:val="hy-AM"/>
        </w:rPr>
        <w:t>Ա</w:t>
      </w:r>
      <w:r w:rsidRPr="0072477E">
        <w:rPr>
          <w:sz w:val="22"/>
          <w:szCs w:val="22"/>
          <w:lang w:val="hy-AM"/>
        </w:rPr>
        <w:t>կադեմիական քաղաքի ստեղծման շինարարական աշխատանքներին ուղղված միջոցառումները, որոնք մեկնարկել են բավականին արագ տեմպերով: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«Ակադեմիական քաղաք» ծրագրի 2026 թվականի պետական քաղաքականության հիմնական թիրախներն են.</w:t>
      </w:r>
    </w:p>
    <w:p w:rsidR="001A12A4" w:rsidRPr="0072477E" w:rsidRDefault="00DB4FBA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Ա</w:t>
      </w:r>
      <w:r w:rsidR="001A12A4" w:rsidRPr="0072477E">
        <w:rPr>
          <w:sz w:val="22"/>
          <w:szCs w:val="22"/>
          <w:lang w:val="hy-AM"/>
        </w:rPr>
        <w:t>կադեմիական քաղաք ծրագրի համակարգման և մոնիթորինգի ծառայությունների մատուցում,</w:t>
      </w:r>
    </w:p>
    <w:p w:rsidR="001A12A4" w:rsidRPr="0072477E" w:rsidRDefault="00DB4FBA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Ա</w:t>
      </w:r>
      <w:r w:rsidR="001A12A4" w:rsidRPr="0072477E">
        <w:rPr>
          <w:sz w:val="22"/>
          <w:szCs w:val="22"/>
          <w:lang w:val="hy-AM"/>
        </w:rPr>
        <w:t>կադեմիական քաղաք ծրագրի իրականացման համար միջազգային խորհրդատվական ծառայությունների ձեռք</w:t>
      </w:r>
      <w:r w:rsidRPr="0072477E">
        <w:rPr>
          <w:sz w:val="22"/>
          <w:szCs w:val="22"/>
          <w:lang w:val="hy-AM"/>
        </w:rPr>
        <w:t xml:space="preserve"> </w:t>
      </w:r>
      <w:r w:rsidR="001A12A4" w:rsidRPr="0072477E">
        <w:rPr>
          <w:sz w:val="22"/>
          <w:szCs w:val="22"/>
          <w:lang w:val="hy-AM"/>
        </w:rPr>
        <w:t>բերում և պայմանագրերի սպասարկում,</w:t>
      </w:r>
    </w:p>
    <w:p w:rsidR="001A12A4" w:rsidRPr="0072477E" w:rsidRDefault="00DB4FBA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Ա</w:t>
      </w:r>
      <w:r w:rsidR="001A12A4" w:rsidRPr="0072477E">
        <w:rPr>
          <w:sz w:val="22"/>
          <w:szCs w:val="22"/>
          <w:lang w:val="hy-AM"/>
        </w:rPr>
        <w:t>կադեմիական քաղաքի նախագծման և կառուցման գործընթացների ապահովում: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Գիտության ոլորտը պետք է լինի ՀՀ կայուն զարգացման անկյունաքարային ոլորտներից մեկը, որի զարգացումը հնարավորություն է ընձեռելու Հայաստանին դիմակայել ներկայիս և ապագայի մարտահրավերներին, դառնալ ՀՀ առաջընթացի կարևոր մաս:</w:t>
      </w:r>
    </w:p>
    <w:bookmarkEnd w:id="0"/>
    <w:p w:rsidR="001A12A4" w:rsidRPr="0072477E" w:rsidRDefault="001A12A4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 w:eastAsia="ru-RU"/>
        </w:rPr>
      </w:pPr>
      <w:r w:rsidRPr="0072477E">
        <w:rPr>
          <w:b/>
          <w:sz w:val="22"/>
          <w:szCs w:val="22"/>
          <w:lang w:val="hy-AM"/>
        </w:rPr>
        <w:t>Գիտության ոլորտի պետական քաղաքականության 2026 թվականի հիմնական թիրախներն են.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մրցունակ գիտական գործունեության համար նպաստավոր ենթակառուցվածքների զարգացումը, որը գիտական գործունեության արդյունավետության և մրցունակության բարձրացման կարևորագույն գրավականներից է, ինչը հնարավորություն է տալու իրականացնելու մրցունակ գիտական հետազոտություններ ոչ միայն ժամանակակից գիտական սարքավորումների և նյութերի միջոցով, այլ նաև՝ ընձեռելու է գիտական գործունեության համար բարենպաստ ֆիզիկական միջավայր,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գիտության ոլորտում աշխատողների որակավորման բարձրացումը, երիտասարդ կադրերի ներգրավումը, 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գիտության ոլորտում պետական ֆինանսավորման արդյունավետության բարձրացումը, որն իրականացվելու է հետազոտությունների միջազգային չափանիշների սահմանմամբ, հնարավորություն է ընձեռելու ներդնել կատարողականի գնահատման մեխանիզմներ,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rFonts w:cs="Sylfaen"/>
          <w:kern w:val="16"/>
          <w:sz w:val="22"/>
          <w:szCs w:val="22"/>
          <w:lang w:val="hy-AM"/>
        </w:rPr>
      </w:pPr>
      <w:r w:rsidRPr="0072477E">
        <w:rPr>
          <w:rFonts w:cs="Sylfaen"/>
          <w:kern w:val="16"/>
          <w:sz w:val="22"/>
          <w:szCs w:val="22"/>
          <w:lang w:val="hy-AM"/>
        </w:rPr>
        <w:t>միջազգային գործընկերության աշխարհագրության ընդլայնումը, համաշխարհային նշանակության հետազոտությունների իրականացման հնարավորությունների ստեղծումը,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գիտության ոլորտը կարգավորող իրավական դաշտի կատարելագործումը: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Վերջիններիս ապահովման համար սահմանված են հետևյալ արդյունքային ցուցանիշները.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ոլորտային համալիր հետազոտությունների համար անհրաժեշտ սարքավորումների, նպաստավոր միջավայրի, ինչպես նաև մարդկային ռեսուրսի արդյունավետ օգտագործման պայմանների, գիտական և գիտատեխնիկական բնագավառում միջպետական կամ միջգերատեսչական պայմանագրերի և համաձայնագրերի, ինչպես նաև Եվրոպական շրջանակային ծրագրերին Հայաստանի մասնակցության խթանմանն ուղղված մեխանիզմների առկայություն,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lastRenderedPageBreak/>
        <w:t>ասպիրանտների և երիտասարդ հայցորդների հետազոտությունների աջակցությանն ու հետդոկտորական հետազոտությունների ծրագրերի իրականացմանն ուղղված ծրագրերի, ինչպես նաև աշխարհի լավագույն գիտական կենտրոններում վերապատրաստված գիտաշխատողների առկայություն,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հետազոտությունների միջազգային չափանիշների սահմանում, կատարողականի գնահատման մեխանիզմների, հեռավար ղեկավարվող լաբորատորիաների, հասարակական, հայագիտության և հումանիտար գիտությունների բնագավառների, երկակի նշանակության, կիրառական արդյունքի ձեռքբերման, պետական կարիքներից բխող, գերակա ուղղություններով հետազոտությունների աջակցությանն ուղղված ծրագրերի, ինչպես նաև hիմնարար հետազոտությունների ծրագրերի ընտրության մրցակցային մեխանիզմների առկայություն:</w:t>
      </w:r>
    </w:p>
    <w:p w:rsidR="001A12A4" w:rsidRPr="00CB177D" w:rsidRDefault="001A12A4" w:rsidP="00B32086">
      <w:pPr>
        <w:pStyle w:val="TOC4"/>
        <w:spacing w:before="120" w:after="120" w:line="23" w:lineRule="atLeast"/>
        <w:ind w:right="-360"/>
        <w:jc w:val="both"/>
        <w:rPr>
          <w:b/>
          <w:bCs/>
          <w:sz w:val="22"/>
          <w:szCs w:val="22"/>
          <w:lang w:val="hy-AM"/>
        </w:rPr>
      </w:pPr>
      <w:r w:rsidRPr="00CB177D">
        <w:rPr>
          <w:b/>
          <w:bCs/>
          <w:sz w:val="22"/>
          <w:szCs w:val="22"/>
          <w:lang w:val="hy-AM"/>
        </w:rPr>
        <w:t>ՄՇԱԿՈՒՅԹ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rFonts w:cs="Arial"/>
          <w:iCs/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Մշակութային ժառանգության, ժամանակակից արվեստի և գրահրատարակչության, հուշարձանների պահպանության ոլորտներում </w:t>
      </w:r>
      <w:r w:rsidRPr="0072477E">
        <w:rPr>
          <w:rFonts w:cs="Sylfaen"/>
          <w:sz w:val="22"/>
          <w:szCs w:val="22"/>
          <w:lang w:val="hy-AM"/>
        </w:rPr>
        <w:t xml:space="preserve">կառավարության վարած քաղաքականությունը </w:t>
      </w:r>
      <w:r w:rsidRPr="0072477E">
        <w:rPr>
          <w:rFonts w:cs="Sylfaen"/>
          <w:bCs/>
          <w:sz w:val="22"/>
          <w:szCs w:val="22"/>
          <w:lang w:val="hy-AM"/>
        </w:rPr>
        <w:t>բխում է կառավարության 2021-2026</w:t>
      </w:r>
      <w:r w:rsidR="00836AC9" w:rsidRPr="0072477E">
        <w:rPr>
          <w:rFonts w:cs="Sylfaen"/>
          <w:bCs/>
          <w:sz w:val="22"/>
          <w:szCs w:val="22"/>
          <w:lang w:val="hy-AM"/>
        </w:rPr>
        <w:t xml:space="preserve"> թվականների</w:t>
      </w:r>
      <w:r w:rsidRPr="0072477E">
        <w:rPr>
          <w:rFonts w:cs="Sylfaen"/>
          <w:bCs/>
          <w:sz w:val="22"/>
          <w:szCs w:val="22"/>
          <w:lang w:val="hy-AM"/>
        </w:rPr>
        <w:t xml:space="preserve"> ծրագրից և արտացոլված է ՀՀ մշակույթի պահպանության, զարգացման և հանրահռչակման</w:t>
      </w:r>
      <w:r w:rsidRPr="0072477E">
        <w:rPr>
          <w:rFonts w:cs="Arial"/>
          <w:iCs/>
          <w:sz w:val="22"/>
          <w:szCs w:val="22"/>
          <w:lang w:val="hy-AM"/>
        </w:rPr>
        <w:t xml:space="preserve"> 2023-2027 </w:t>
      </w:r>
      <w:r w:rsidR="00836AC9" w:rsidRPr="0072477E">
        <w:rPr>
          <w:rFonts w:cs="Arial"/>
          <w:iCs/>
          <w:sz w:val="22"/>
          <w:szCs w:val="22"/>
          <w:lang w:val="hy-AM"/>
        </w:rPr>
        <w:t>թվականների</w:t>
      </w:r>
      <w:r w:rsidRPr="0072477E">
        <w:rPr>
          <w:rFonts w:cs="Arial"/>
          <w:iCs/>
          <w:sz w:val="22"/>
          <w:szCs w:val="22"/>
          <w:lang w:val="hy-AM"/>
        </w:rPr>
        <w:t xml:space="preserve"> ռազմավարության մեջ և դրանից բխող գործողությունների ծրագրում: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rFonts w:cs="Arial"/>
          <w:iCs/>
          <w:sz w:val="22"/>
          <w:szCs w:val="22"/>
          <w:lang w:val="hy-AM"/>
        </w:rPr>
      </w:pPr>
      <w:r w:rsidRPr="0072477E">
        <w:rPr>
          <w:rFonts w:cs="Sylfaen"/>
          <w:bCs/>
          <w:sz w:val="22"/>
          <w:szCs w:val="22"/>
          <w:lang w:val="hy-AM"/>
        </w:rPr>
        <w:t xml:space="preserve">2026 թվականին նախատեսված ծրագրերը միտված են լինելու մշակութային ժառանգության պահպանությանը, տարածմանը և հանրահռչակմանը, մշակութային և ստեղծարար ոլորտների խթանմանը և երկրի կայուն զարգացման գործընթացներում վերջիններիս դերի ընդլայնմանը, մշակույթի տնտեսականացմանը, </w:t>
      </w:r>
      <w:r w:rsidRPr="0072477E">
        <w:rPr>
          <w:sz w:val="22"/>
          <w:szCs w:val="22"/>
          <w:lang w:val="hy-AM"/>
        </w:rPr>
        <w:t>մշակութային մրցունակ արտադրանքի ստեղծման</w:t>
      </w:r>
      <w:r w:rsidRPr="0072477E">
        <w:rPr>
          <w:rFonts w:cs="Sylfaen"/>
          <w:bCs/>
          <w:sz w:val="22"/>
          <w:szCs w:val="22"/>
          <w:lang w:val="hy-AM"/>
        </w:rPr>
        <w:t xml:space="preserve">ը, մշակույթի և ժամանակակից արվեստի հասանելիությանը և սոցիալական ներառականությանը, </w:t>
      </w:r>
      <w:r w:rsidRPr="0072477E">
        <w:rPr>
          <w:rFonts w:cs="Sylfaen"/>
          <w:sz w:val="22"/>
          <w:szCs w:val="22"/>
          <w:lang w:val="hy-AM"/>
        </w:rPr>
        <w:t>մարզերում մշակութային կյանքի և մշակութաստեղծ գործունեության ակտիվացմանը</w:t>
      </w:r>
      <w:r w:rsidRPr="0072477E">
        <w:rPr>
          <w:rFonts w:cs="Sylfaen"/>
          <w:bCs/>
          <w:sz w:val="22"/>
          <w:szCs w:val="22"/>
          <w:lang w:val="hy-AM"/>
        </w:rPr>
        <w:t xml:space="preserve">, հայկական մշակույթի միջազգային ինտեգրմանը և միջազգային շուկաներում մրցունակության ապահովմանը: </w:t>
      </w:r>
    </w:p>
    <w:p w:rsidR="001A12A4" w:rsidRPr="0072477E" w:rsidRDefault="001A12A4" w:rsidP="00B32086">
      <w:pPr>
        <w:spacing w:before="120" w:after="120" w:line="23" w:lineRule="atLeast"/>
        <w:ind w:right="-360"/>
        <w:jc w:val="both"/>
        <w:rPr>
          <w:rFonts w:ascii="GHEA Grapalat" w:hAnsi="GHEA Grapalat"/>
          <w:b/>
        </w:rPr>
      </w:pPr>
      <w:r w:rsidRPr="0072477E">
        <w:rPr>
          <w:rFonts w:ascii="GHEA Grapalat" w:hAnsi="GHEA Grapalat"/>
          <w:b/>
        </w:rPr>
        <w:t>Մշակույթի ոլորտի քաղաքականության հիմնական թիրախներն են.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 w:eastAsia="ru-RU"/>
        </w:rPr>
      </w:pPr>
      <w:r w:rsidRPr="0072477E">
        <w:rPr>
          <w:sz w:val="22"/>
          <w:szCs w:val="22"/>
          <w:lang w:val="hy-AM"/>
        </w:rPr>
        <w:t>պատմամշակութային հուշարձանների ամրակայումը, նորոգումը և վերականգնումը, հանրահռչակումը միջազգային հարթակներում,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թանգարանային ծառայությունների շարունակականության ապահովումը, գիտացուցադրական և կրթական գործունեության ընդլայնումը,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գրական արտադրանքի միջոցով գրավոր-մշակութային ժառանգության պահպանումը, զարգացումը և հանրահռչակումը,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գրադարանների գործունեության արդիականացումը,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ոչ նյութական մշակութային ժառանգության պահպանությունն ու հանրայնացումը,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մշակութային կազմակերպությունների վերանորոգումը, նյութատեխնիկական բազայի համալրումը, 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ժամանակակից տեղեկատվական տեխնոլոգիաների կիրառման ընդլայնումը՝ միտված տվյալների կառավարման և հասանելիության միջավայրի ստեղծմանը,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lastRenderedPageBreak/>
        <w:t>մշակութային հաստատությունների ֆինանսավորման նոր մոդելի ներդրման գործընթացի շարունակական ապահովումը,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Հայաստանի կինոյի հիմնադրամի գործունեության ապահովումը, հայկական կինոժառանգության պահպանումն ու հանրահռչակումը, կինոարվեստի աջակցությունն ու կինոարտադրության զարգացումը, միջազգային համագործակցության ընդլայնումը, կինոարտադրության ներդրումների մասնակի վերադարձի մեխանիզմի շարունակականության ապահովումը, կինոարդյունաբերության զարգացումը, միջազգային համագործակցության ընդլայնումը,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թատերարվեստի, երաժշտարվեստի, կերպարվեստի և պարարվեստի ոլորտների  զարգացումն ու հանրահռչակումը, նորարարական մոտեցումների կիրառումը,  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ինքնազբաղ արվեստագետների համար ստեղծագործելու բարենպաստ միջավայրի ձևավորումը և ինստիտուցիոնալ ու սոցիալական երաշխիքների ստեղծումը, դրամական խրախուսման ծրագրի կիրարկումը,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մշակութային կյանքի ապակենտրոնացումը, մարզերում մշակութային կյանքի և մշակութաստեղծ գործունեության ակտիվացումը, մարզերում մշակութաժամանցային կենտրոնների ստեղծումը,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գեղարվեստական կրթության զարգացումը, երեխաների հոգևոր և գեղագիտական ընդունակությունների բացահայտումն ու զարգացումը՝ կրթական ծրագրերի իրականացման և վարպետության դասերի կազմակերպման միջոցով, 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rFonts w:cs="Sylfaen"/>
          <w:sz w:val="22"/>
          <w:szCs w:val="22"/>
          <w:shd w:val="clear" w:color="auto" w:fill="FFFFFF"/>
          <w:lang w:val="hy-AM"/>
        </w:rPr>
        <w:t>«Դպրոցական բաժանորդային համակարգ» ծր</w:t>
      </w:r>
      <w:r w:rsidRPr="0072477E">
        <w:rPr>
          <w:sz w:val="22"/>
          <w:szCs w:val="22"/>
          <w:lang w:val="hy-AM"/>
        </w:rPr>
        <w:t>ագրի շարունակականության ապահովումը,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պետություն-մասնավոր համագործակցության ընդլայնումը՝ ստեղծագործական ներուժի խթանման, մրցունակ արտադրանքի տարածման և արտերկրում հայ մշակույթի հանրահռչակման նպատակով,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օտարերկրյա կազմակերպությունների հետ երկկողմ և բազմակողմ ձևաչափերով առկա համագործակցության խորացումը և նոր համագործակցությունների ձևավորումը։</w:t>
      </w:r>
    </w:p>
    <w:p w:rsidR="001A12A4" w:rsidRPr="00CB177D" w:rsidRDefault="001A12A4" w:rsidP="00B32086">
      <w:pPr>
        <w:pStyle w:val="TOC4"/>
        <w:spacing w:before="120" w:after="120" w:line="23" w:lineRule="atLeast"/>
        <w:ind w:right="-360"/>
        <w:jc w:val="both"/>
        <w:rPr>
          <w:b/>
          <w:bCs/>
          <w:sz w:val="22"/>
          <w:szCs w:val="22"/>
          <w:lang w:val="hy-AM"/>
        </w:rPr>
      </w:pPr>
      <w:r w:rsidRPr="00CB177D">
        <w:rPr>
          <w:b/>
          <w:bCs/>
          <w:sz w:val="22"/>
          <w:szCs w:val="22"/>
          <w:lang w:val="hy-AM"/>
        </w:rPr>
        <w:t>ՖԻԶԻԿԱԿԱՆ ԿՈՒԼՏՈՒՐԱ  ԵՎ ՍՊՈՐՏ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Ոլորտում ՀՀ կառավարության սահմանած հիմնական նպատակներն են՝ </w:t>
      </w:r>
      <w:r w:rsidRPr="0072477E">
        <w:rPr>
          <w:rFonts w:ascii="Calibri" w:hAnsi="Calibri" w:cs="Calibri"/>
          <w:sz w:val="22"/>
          <w:szCs w:val="22"/>
          <w:lang w:val="hy-AM"/>
        </w:rPr>
        <w:t> </w:t>
      </w:r>
      <w:r w:rsidRPr="0072477E">
        <w:rPr>
          <w:sz w:val="22"/>
          <w:szCs w:val="22"/>
          <w:lang w:val="hy-AM"/>
        </w:rPr>
        <w:t xml:space="preserve">ֆիզիկական ակտիվությունը և առողջ ապրելակերպը դարձնել ազգային կենսակերպ, Հայաստանը դարձնել սպորտային բարձր նվաճումների երկիր: Այս ոլորտներում </w:t>
      </w:r>
      <w:r w:rsidRPr="0072477E">
        <w:rPr>
          <w:rFonts w:cs="Sylfaen"/>
          <w:sz w:val="22"/>
          <w:szCs w:val="22"/>
          <w:lang w:val="hy-AM"/>
        </w:rPr>
        <w:t xml:space="preserve">կառավարության վարած քաղաքականությունը </w:t>
      </w:r>
      <w:r w:rsidRPr="0072477E">
        <w:rPr>
          <w:rFonts w:cs="Sylfaen"/>
          <w:bCs/>
          <w:sz w:val="22"/>
          <w:szCs w:val="22"/>
          <w:lang w:val="hy-AM"/>
        </w:rPr>
        <w:t>բխում է կառավարության 2021-2026</w:t>
      </w:r>
      <w:r w:rsidR="00242B3A" w:rsidRPr="0072477E">
        <w:rPr>
          <w:rFonts w:cs="Sylfaen"/>
          <w:bCs/>
          <w:sz w:val="22"/>
          <w:szCs w:val="22"/>
          <w:lang w:val="hy-AM"/>
        </w:rPr>
        <w:t xml:space="preserve"> թվականների</w:t>
      </w:r>
      <w:r w:rsidRPr="0072477E">
        <w:rPr>
          <w:rFonts w:cs="Sylfaen"/>
          <w:bCs/>
          <w:sz w:val="22"/>
          <w:szCs w:val="22"/>
          <w:lang w:val="hy-AM"/>
        </w:rPr>
        <w:t xml:space="preserve"> ծրագրից և արտացոլված է </w:t>
      </w:r>
      <w:r w:rsidRPr="0072477E">
        <w:rPr>
          <w:sz w:val="22"/>
          <w:szCs w:val="22"/>
          <w:lang w:val="hy-AM"/>
        </w:rPr>
        <w:t xml:space="preserve">«Ֆիզիկական կուլտուրայի և սպորտի ոլորտների 2024-2030 </w:t>
      </w:r>
      <w:r w:rsidR="00242B3A" w:rsidRPr="0072477E">
        <w:rPr>
          <w:sz w:val="22"/>
          <w:szCs w:val="22"/>
          <w:lang w:val="hy-AM"/>
        </w:rPr>
        <w:t xml:space="preserve">թվականների </w:t>
      </w:r>
      <w:r w:rsidRPr="0072477E">
        <w:rPr>
          <w:sz w:val="22"/>
          <w:szCs w:val="22"/>
          <w:lang w:val="hy-AM"/>
        </w:rPr>
        <w:t>ռազմավարության և ռազմավարության գործողությունների պլան»-ում: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Այս նպատակներին հասնելու համար ՀՀ  կառավարության գործունեության ուղղություններն են.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ազգաբնակչության շրջանում առողջ ապրելակերպի և ֆիզիկական ակտիվության խթանումը զանգվածային մարզական միջոցառումներ կազմակերպելու և դրանցում բնակչության տարիքային և սոցիալական տարբեր խմբեր ներգրավելու միջոցով, ինչպես նաև՝ սիրողական </w:t>
      </w:r>
      <w:r w:rsidRPr="0072477E">
        <w:rPr>
          <w:sz w:val="22"/>
          <w:szCs w:val="22"/>
          <w:lang w:val="hy-AM"/>
        </w:rPr>
        <w:lastRenderedPageBreak/>
        <w:t>սպորտում պետական և մասնավոր հատվածների միջև կայուն և արդյունավետ համագործակցություն ստեղծելու միջոցով,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դպրոցահասակ երեխաների շրջանում տարատեսակ մարզական խաղերի և մրցաշարերի կազմակերպումը և հանրության շրջանում երթևեկության այլընտրանքային ձևերի խթանումը,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ՀՀ միջազգային հեղինակության բարձրացումը</w:t>
      </w:r>
      <w:r w:rsidR="00BB11CF" w:rsidRPr="0072477E">
        <w:rPr>
          <w:sz w:val="22"/>
          <w:szCs w:val="22"/>
          <w:lang w:val="hy-AM"/>
        </w:rPr>
        <w:t>՝</w:t>
      </w:r>
      <w:r w:rsidRPr="0072477E">
        <w:rPr>
          <w:sz w:val="22"/>
          <w:szCs w:val="22"/>
          <w:lang w:val="hy-AM"/>
        </w:rPr>
        <w:t xml:space="preserve"> բարձրակարգ մարզիկների պատրաստման, ՀՀ առաջնությունների անցկացման, օլիմպիական, պարալիմպիկ, սուրդլիմպիկ խաղերին, աշխարհի, Եվրոպայի և այլ միջազգային առաջնություններին միջազգային և տեղական մրցումներին հայ մարզիկների մասնակցության և բարձր նվաճումների խրախուսման, ՀՀ-ում միջազգային մարզական միջոցառումներ կազմակերպելու միջոցով,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մանկապատանեկան սպորտի զարգացումը, համայնքներում և մարզերում  մարզական կյանքի աշխուժացումը ենթակառուցվածքների ստեղծման և բարելավման միջոցով, 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 w:eastAsia="ru-RU"/>
        </w:rPr>
      </w:pPr>
      <w:r w:rsidRPr="0072477E">
        <w:rPr>
          <w:sz w:val="22"/>
          <w:szCs w:val="22"/>
          <w:lang w:val="hy-AM"/>
        </w:rPr>
        <w:t>հայրենիքի պաշտպանությանը պատրաստ երիտասարդության ֆիզիկական պատրաստակա</w:t>
      </w:r>
      <w:r w:rsidR="00F80606" w:rsidRPr="0072477E">
        <w:rPr>
          <w:sz w:val="22"/>
          <w:szCs w:val="22"/>
          <w:lang w:val="hy-AM"/>
        </w:rPr>
        <w:t>ն</w:t>
      </w:r>
      <w:r w:rsidRPr="0072477E">
        <w:rPr>
          <w:sz w:val="22"/>
          <w:szCs w:val="22"/>
          <w:lang w:val="hy-AM"/>
        </w:rPr>
        <w:t>ության ապահովումը:</w:t>
      </w:r>
    </w:p>
    <w:p w:rsidR="001A12A4" w:rsidRPr="00CB177D" w:rsidRDefault="001A12A4" w:rsidP="00B32086">
      <w:pPr>
        <w:pStyle w:val="TOC4"/>
        <w:spacing w:before="120" w:after="120" w:line="23" w:lineRule="atLeast"/>
        <w:ind w:right="-360"/>
        <w:jc w:val="both"/>
        <w:rPr>
          <w:b/>
          <w:bCs/>
          <w:sz w:val="22"/>
          <w:szCs w:val="22"/>
          <w:lang w:val="hy-AM"/>
        </w:rPr>
      </w:pPr>
      <w:r w:rsidRPr="00CB177D">
        <w:rPr>
          <w:b/>
          <w:bCs/>
          <w:sz w:val="22"/>
          <w:szCs w:val="22"/>
          <w:lang w:val="hy-AM"/>
        </w:rPr>
        <w:t>ԵՐԻՏԱՍԱՐԴՈՒԹՅՈՒՆ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Երիտասարդական պետական քաղաքականությունը կառավարության ընդունած ծրագրերի և միջոցառումների համակարգ է, որը միտված է երիտասարդների կարիքների, կարողությունների բացահայտմանն ու զարգացմանը, կրթական, մշակութային և սոցիալական բնույթի այլ հետաքրքրությունների և նախասիրությունների բավարարմանը, երիտասարդության առջև ծառացած հիմնախնդիրների լուծմանը և այդ լուծումների շուրջ հանրային խոսույթի ձևավորմանը, քաղաքական, սոցիալ-տնտեսական և մշակութային կյանքին երիտասարդների ընդգրկվածության ապահովմանը և որոշումների կայացման մեջ երիտասարդների մասնակցության մակարդակի բարձրացմանը: 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2025 թվականին ընդունվել է «Երիտասարդական քաղաքականության մասին« ՀՕ-58-Ն ՀՀ օրենքը, որը կարգավորում է երիտասարդական քաղաքականության մշակման և իրականացման գործընթացները, ինչպես նաև՝ երիտասարդական քաղաքականության իրականացման գործընթացում ներգրավված սուբյեկտների և պետական կառավարման մարմինների միջև ծագող իրավահարաբերությունները: Օրենքով հստակեցվել են երիտասարդական քաղաքականության սուբյեկտները, սահմանվել են ոլորտի հիմնական դերակատարները, նրանց գործառույթները, լիազորություններն ու պարտավորությունները: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Այս համատեքստում 2026 թվականին ոլորտային քաղաքականության հիմնական թիրախներն են.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 w:eastAsia="ru-RU"/>
        </w:rPr>
      </w:pPr>
      <w:r w:rsidRPr="0072477E">
        <w:rPr>
          <w:sz w:val="22"/>
          <w:szCs w:val="22"/>
          <w:lang w:val="hy-AM"/>
        </w:rPr>
        <w:t>աջակցություն մարզերում «Երիտասարդական միջավայրերի» ձևավորմանը,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երիտասարդների կարողությունների բացահայտում ու զարգացում, հանրային կյանքին և որոշումների կայացման գործընթացներին երիտասարդների մասնակցության խթանում,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աջակցություն երիտասարդ ընտանիքներին,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երիտասարդական քաղաքականության և երիտասարդական ծրագրերի վերաբերյալ իրազեկվածության բարձրացում,</w:t>
      </w:r>
    </w:p>
    <w:p w:rsidR="001A12A4" w:rsidRPr="0072477E" w:rsidRDefault="001A12A4" w:rsidP="00B32086">
      <w:pPr>
        <w:pStyle w:val="BodytextBullets"/>
        <w:spacing w:line="23" w:lineRule="atLeast"/>
        <w:ind w:left="0" w:right="-360" w:firstLine="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երիտասարդների՝ միջազգային միջոցառումներին մասնակցության բարձրացում:</w:t>
      </w:r>
    </w:p>
    <w:p w:rsidR="001A12A4" w:rsidRPr="00CB177D" w:rsidRDefault="001A12A4" w:rsidP="00B32086">
      <w:pPr>
        <w:pStyle w:val="TOC4"/>
        <w:spacing w:before="120" w:after="120" w:line="23" w:lineRule="atLeast"/>
        <w:ind w:right="-360"/>
        <w:jc w:val="both"/>
        <w:rPr>
          <w:b/>
          <w:bCs/>
          <w:sz w:val="22"/>
          <w:szCs w:val="22"/>
          <w:lang w:val="hy-AM"/>
        </w:rPr>
      </w:pPr>
      <w:r w:rsidRPr="00CB177D">
        <w:rPr>
          <w:b/>
          <w:bCs/>
          <w:sz w:val="22"/>
          <w:szCs w:val="22"/>
          <w:lang w:val="hy-AM"/>
        </w:rPr>
        <w:t>ԼԵԶՎԱԿԱՆ ՔԱՂԱՔԱԿԱՆՈՒԹՅՈՒՆ</w:t>
      </w:r>
    </w:p>
    <w:p w:rsidR="001A12A4" w:rsidRPr="0072477E" w:rsidRDefault="001A12A4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Լեզվական պետական քաղաքականությունն ուղղված է ՀՀ-ում հայերենի՝ որպես պետական լեզվի լիարժեք գործառմանը, հայերենի կենսունակության ու հասանելիության բարձրացմանը, հայերենով ստեղծված և ստեղծվող գիտության, գիր ու գրականության պահպանությանն ու տարածմանը, ազգային փոքրամասնությունների լեզվական իրավունքների իրացմանը։ </w:t>
      </w:r>
    </w:p>
    <w:p w:rsidR="001C5FD0" w:rsidRPr="00131103" w:rsidRDefault="002A1876" w:rsidP="00CD56F9">
      <w:pPr>
        <w:pStyle w:val="ListParagraph"/>
        <w:numPr>
          <w:ilvl w:val="2"/>
          <w:numId w:val="4"/>
        </w:numPr>
        <w:spacing w:before="120" w:after="120" w:line="23" w:lineRule="atLeast"/>
        <w:ind w:left="-360" w:right="-630" w:firstLine="0"/>
        <w:jc w:val="both"/>
        <w:rPr>
          <w:rFonts w:ascii="GHEA Grapalat" w:hAnsi="GHEA Grapalat"/>
          <w:b/>
          <w:sz w:val="24"/>
          <w:szCs w:val="20"/>
        </w:rPr>
      </w:pPr>
      <w:r w:rsidRPr="00131103">
        <w:rPr>
          <w:rFonts w:ascii="GHEA Grapalat" w:hAnsi="GHEA Grapalat"/>
          <w:b/>
          <w:sz w:val="24"/>
          <w:szCs w:val="20"/>
        </w:rPr>
        <w:t>Պետական տուրքեր և այլ եկամուտներ</w:t>
      </w:r>
    </w:p>
    <w:p w:rsidR="002A1876" w:rsidRPr="0072477E" w:rsidRDefault="003E7FAA" w:rsidP="00CD56F9">
      <w:pPr>
        <w:spacing w:before="120" w:after="120" w:line="23" w:lineRule="atLeast"/>
        <w:ind w:left="-360" w:right="-630"/>
        <w:jc w:val="both"/>
        <w:rPr>
          <w:rFonts w:ascii="GHEA Grapalat" w:hAnsi="GHEA Grapalat" w:cs="Sylfaen"/>
          <w:b/>
          <w:iCs/>
          <w:sz w:val="18"/>
          <w:szCs w:val="18"/>
        </w:rPr>
      </w:pPr>
      <w:r>
        <w:rPr>
          <w:rFonts w:ascii="GHEA Grapalat" w:hAnsi="GHEA Grapalat" w:cs="Sylfaen"/>
          <w:b/>
          <w:iCs/>
          <w:sz w:val="18"/>
          <w:szCs w:val="18"/>
        </w:rPr>
        <w:t xml:space="preserve"> </w:t>
      </w:r>
      <w:r w:rsidR="002A1876" w:rsidRPr="0072477E">
        <w:rPr>
          <w:rFonts w:ascii="GHEA Grapalat" w:hAnsi="GHEA Grapalat" w:cs="Sylfaen"/>
          <w:b/>
          <w:iCs/>
          <w:sz w:val="18"/>
          <w:szCs w:val="18"/>
        </w:rPr>
        <w:t>Աղյուսակ</w:t>
      </w:r>
      <w:r w:rsidR="00273B08" w:rsidRPr="0072477E">
        <w:rPr>
          <w:rFonts w:ascii="GHEA Grapalat" w:hAnsi="GHEA Grapalat" w:cs="Sylfaen"/>
          <w:b/>
          <w:iCs/>
          <w:sz w:val="18"/>
          <w:szCs w:val="18"/>
        </w:rPr>
        <w:t xml:space="preserve"> 1</w:t>
      </w:r>
      <w:r w:rsidR="009A75E6">
        <w:rPr>
          <w:rFonts w:ascii="GHEA Grapalat" w:hAnsi="GHEA Grapalat" w:cs="Sylfaen"/>
          <w:b/>
          <w:iCs/>
          <w:sz w:val="18"/>
          <w:szCs w:val="18"/>
        </w:rPr>
        <w:t xml:space="preserve">. </w:t>
      </w:r>
      <w:r w:rsidR="002A1876" w:rsidRPr="0072477E">
        <w:rPr>
          <w:rFonts w:ascii="GHEA Grapalat" w:hAnsi="GHEA Grapalat" w:cs="Sylfaen"/>
          <w:b/>
          <w:iCs/>
          <w:sz w:val="18"/>
          <w:szCs w:val="18"/>
        </w:rPr>
        <w:t>ԿԳՄՍՆ</w:t>
      </w:r>
      <w:r w:rsidR="002A1876" w:rsidRPr="0072477E">
        <w:rPr>
          <w:rFonts w:ascii="GHEA Grapalat" w:hAnsi="GHEA Grapalat" w:cs="Sylfaen"/>
        </w:rPr>
        <w:t xml:space="preserve"> </w:t>
      </w:r>
      <w:r w:rsidR="002A1876" w:rsidRPr="0072477E">
        <w:rPr>
          <w:rFonts w:ascii="GHEA Grapalat" w:hAnsi="GHEA Grapalat" w:cs="Sylfaen"/>
          <w:b/>
          <w:iCs/>
          <w:sz w:val="18"/>
          <w:szCs w:val="18"/>
        </w:rPr>
        <w:t xml:space="preserve">կողմից </w:t>
      </w:r>
      <w:r w:rsidR="009A75E6">
        <w:rPr>
          <w:rFonts w:ascii="GHEA Grapalat" w:hAnsi="GHEA Grapalat" w:cs="Sylfaen"/>
          <w:b/>
          <w:iCs/>
          <w:sz w:val="18"/>
          <w:szCs w:val="18"/>
        </w:rPr>
        <w:t xml:space="preserve">գանձված և </w:t>
      </w:r>
      <w:r w:rsidR="002A1876" w:rsidRPr="0072477E">
        <w:rPr>
          <w:rFonts w:ascii="GHEA Grapalat" w:hAnsi="GHEA Grapalat" w:cs="Sylfaen"/>
          <w:b/>
          <w:iCs/>
          <w:sz w:val="18"/>
          <w:szCs w:val="18"/>
        </w:rPr>
        <w:t>գանձվելիք պետական տուրքերը և այլ եկամուտները (մլն դրամ)</w:t>
      </w:r>
    </w:p>
    <w:tbl>
      <w:tblPr>
        <w:tblStyle w:val="TableGrid"/>
        <w:tblW w:w="10566" w:type="dxa"/>
        <w:tblInd w:w="-365" w:type="dxa"/>
        <w:tblLook w:val="04A0" w:firstRow="1" w:lastRow="0" w:firstColumn="1" w:lastColumn="0" w:noHBand="0" w:noVBand="1"/>
      </w:tblPr>
      <w:tblGrid>
        <w:gridCol w:w="2880"/>
        <w:gridCol w:w="2430"/>
        <w:gridCol w:w="2563"/>
        <w:gridCol w:w="2693"/>
      </w:tblGrid>
      <w:tr w:rsidR="0080465B" w:rsidRPr="0072477E" w:rsidTr="00B713B5">
        <w:tc>
          <w:tcPr>
            <w:tcW w:w="2880" w:type="dxa"/>
            <w:tcBorders>
              <w:bottom w:val="single" w:sz="4" w:space="0" w:color="auto"/>
            </w:tcBorders>
            <w:shd w:val="clear" w:color="auto" w:fill="D9E2F3"/>
          </w:tcPr>
          <w:p w:rsidR="0080465B" w:rsidRPr="0072477E" w:rsidRDefault="0080465B" w:rsidP="00CD56F9">
            <w:pPr>
              <w:spacing w:before="120" w:after="120" w:line="23" w:lineRule="atLeast"/>
              <w:ind w:left="-360" w:right="-630"/>
              <w:jc w:val="both"/>
              <w:rPr>
                <w:rFonts w:ascii="GHEA Grapalat" w:hAnsi="GHEA Grapalat" w:cs="Sylfaen"/>
                <w:i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80465B" w:rsidRPr="0072477E" w:rsidRDefault="00CD56F9" w:rsidP="00CD56F9">
            <w:pPr>
              <w:spacing w:before="120" w:after="120" w:line="23" w:lineRule="atLeast"/>
              <w:ind w:right="-630"/>
              <w:jc w:val="both"/>
              <w:rPr>
                <w:rFonts w:ascii="GHEA Grapalat" w:hAnsi="GHEA Grapalat" w:cs="Sylfaen"/>
                <w:iCs/>
                <w:sz w:val="18"/>
                <w:szCs w:val="18"/>
              </w:rPr>
            </w:pPr>
            <w:r>
              <w:rPr>
                <w:rFonts w:ascii="GHEA Grapalat" w:hAnsi="GHEA Grapalat" w:cs="Sylfaen"/>
                <w:iCs/>
                <w:sz w:val="18"/>
                <w:szCs w:val="18"/>
              </w:rPr>
              <w:t>202</w:t>
            </w:r>
            <w:r w:rsidR="003E7FAA" w:rsidRPr="003E7FAA">
              <w:rPr>
                <w:rFonts w:ascii="GHEA Grapalat" w:hAnsi="GHEA Grapalat" w:cs="Sylfaen"/>
                <w:iCs/>
                <w:sz w:val="18"/>
                <w:szCs w:val="18"/>
              </w:rPr>
              <w:t>4թ փաստ</w:t>
            </w: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80465B" w:rsidRPr="0072477E" w:rsidRDefault="00CD56F9" w:rsidP="00CD56F9">
            <w:pPr>
              <w:spacing w:before="120" w:after="120" w:line="23" w:lineRule="atLeast"/>
              <w:ind w:right="-630"/>
              <w:jc w:val="both"/>
              <w:rPr>
                <w:rFonts w:ascii="GHEA Grapalat" w:hAnsi="GHEA Grapalat" w:cs="Sylfaen"/>
                <w:iCs/>
                <w:sz w:val="18"/>
                <w:szCs w:val="18"/>
              </w:rPr>
            </w:pPr>
            <w:r>
              <w:rPr>
                <w:rFonts w:ascii="GHEA Grapalat" w:hAnsi="GHEA Grapalat" w:cs="Sylfaen"/>
                <w:iCs/>
                <w:sz w:val="18"/>
                <w:szCs w:val="18"/>
              </w:rPr>
              <w:t>202</w:t>
            </w:r>
            <w:r w:rsidR="003E7FAA" w:rsidRPr="003E7FAA">
              <w:rPr>
                <w:rFonts w:ascii="GHEA Grapalat" w:hAnsi="GHEA Grapalat" w:cs="Sylfaen"/>
                <w:iCs/>
                <w:sz w:val="18"/>
                <w:szCs w:val="18"/>
              </w:rPr>
              <w:t>5թ բյուջե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80465B" w:rsidRPr="0072477E" w:rsidRDefault="00CD56F9" w:rsidP="00CD56F9">
            <w:pPr>
              <w:spacing w:before="120" w:after="120" w:line="23" w:lineRule="atLeast"/>
              <w:ind w:right="-630"/>
              <w:jc w:val="both"/>
              <w:rPr>
                <w:rFonts w:ascii="GHEA Grapalat" w:hAnsi="GHEA Grapalat" w:cs="Sylfaen"/>
                <w:iCs/>
                <w:sz w:val="18"/>
                <w:szCs w:val="18"/>
              </w:rPr>
            </w:pPr>
            <w:r>
              <w:rPr>
                <w:rFonts w:ascii="GHEA Grapalat" w:hAnsi="GHEA Grapalat" w:cs="Sylfaen"/>
                <w:iCs/>
                <w:sz w:val="18"/>
                <w:szCs w:val="18"/>
              </w:rPr>
              <w:t>202</w:t>
            </w:r>
            <w:r w:rsidR="003E7FAA" w:rsidRPr="003E7FAA">
              <w:rPr>
                <w:rFonts w:ascii="GHEA Grapalat" w:hAnsi="GHEA Grapalat" w:cs="Sylfaen"/>
                <w:iCs/>
                <w:sz w:val="18"/>
                <w:szCs w:val="18"/>
              </w:rPr>
              <w:t>6թ ծրագիր</w:t>
            </w:r>
          </w:p>
        </w:tc>
      </w:tr>
      <w:tr w:rsidR="0080465B" w:rsidRPr="0072477E" w:rsidTr="00B713B5"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80465B" w:rsidRPr="0072477E" w:rsidRDefault="00CD56F9" w:rsidP="00CD56F9">
            <w:pPr>
              <w:spacing w:before="120" w:after="120" w:line="23" w:lineRule="atLeast"/>
              <w:ind w:right="-630"/>
              <w:jc w:val="both"/>
              <w:rPr>
                <w:rFonts w:ascii="GHEA Grapalat" w:hAnsi="GHEA Grapalat" w:cs="Calibri"/>
                <w:color w:val="000000"/>
                <w:sz w:val="18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Պե</w:t>
            </w:r>
            <w:r w:rsidR="003E7FAA" w:rsidRPr="003E7FAA">
              <w:rPr>
                <w:rFonts w:ascii="GHEA Grapalat" w:hAnsi="GHEA Grapalat" w:cs="Calibri"/>
                <w:color w:val="000000"/>
                <w:sz w:val="18"/>
                <w:szCs w:val="22"/>
              </w:rPr>
              <w:t>տական տուրքեր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5B" w:rsidRPr="0072477E" w:rsidRDefault="00CD56F9" w:rsidP="00D46542">
            <w:pPr>
              <w:spacing w:before="120" w:after="120" w:line="23" w:lineRule="atLeast"/>
              <w:ind w:right="-630"/>
              <w:jc w:val="center"/>
              <w:rPr>
                <w:rFonts w:ascii="GHEA Grapalat" w:hAnsi="GHEA Grapalat" w:cs="Calibri"/>
                <w:color w:val="000000"/>
                <w:sz w:val="18"/>
                <w:szCs w:val="22"/>
              </w:rPr>
            </w:pPr>
            <w:r w:rsidRPr="00CD56F9">
              <w:rPr>
                <w:rFonts w:ascii="GHEA Grapalat" w:hAnsi="GHEA Grapalat" w:cs="Calibri"/>
                <w:color w:val="000000"/>
                <w:sz w:val="18"/>
                <w:szCs w:val="22"/>
              </w:rPr>
              <w:t>46.1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5B" w:rsidRPr="0072477E" w:rsidRDefault="00CD56F9" w:rsidP="00D46542">
            <w:pPr>
              <w:spacing w:before="120" w:after="120" w:line="23" w:lineRule="atLeast"/>
              <w:ind w:right="-630"/>
              <w:jc w:val="center"/>
              <w:rPr>
                <w:rFonts w:ascii="GHEA Grapalat" w:hAnsi="GHEA Grapalat" w:cs="Calibri"/>
                <w:color w:val="000000"/>
                <w:sz w:val="18"/>
                <w:szCs w:val="22"/>
              </w:rPr>
            </w:pPr>
            <w:r w:rsidRPr="00CD56F9">
              <w:rPr>
                <w:rFonts w:ascii="GHEA Grapalat" w:hAnsi="GHEA Grapalat" w:cs="Calibri"/>
                <w:color w:val="000000"/>
                <w:sz w:val="18"/>
                <w:szCs w:val="22"/>
              </w:rPr>
              <w:t>47.5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5B" w:rsidRPr="0072477E" w:rsidRDefault="00CD56F9" w:rsidP="00D46542">
            <w:pPr>
              <w:spacing w:before="120" w:after="120" w:line="23" w:lineRule="atLeast"/>
              <w:ind w:right="-630"/>
              <w:jc w:val="center"/>
              <w:rPr>
                <w:rFonts w:ascii="GHEA Grapalat" w:hAnsi="GHEA Grapalat" w:cs="Calibri"/>
                <w:color w:val="000000"/>
                <w:sz w:val="18"/>
                <w:szCs w:val="22"/>
              </w:rPr>
            </w:pPr>
            <w:r w:rsidRPr="00CD56F9">
              <w:rPr>
                <w:rFonts w:ascii="GHEA Grapalat" w:hAnsi="GHEA Grapalat" w:cs="Calibri"/>
                <w:color w:val="000000"/>
                <w:sz w:val="18"/>
                <w:szCs w:val="22"/>
              </w:rPr>
              <w:t>43.0</w:t>
            </w:r>
          </w:p>
        </w:tc>
      </w:tr>
      <w:tr w:rsidR="0080465B" w:rsidRPr="0072477E" w:rsidTr="00B713B5">
        <w:tc>
          <w:tcPr>
            <w:tcW w:w="2880" w:type="dxa"/>
            <w:vAlign w:val="center"/>
          </w:tcPr>
          <w:p w:rsidR="0080465B" w:rsidRPr="0072477E" w:rsidRDefault="00CD56F9" w:rsidP="00CD56F9">
            <w:pPr>
              <w:spacing w:before="120" w:after="120" w:line="23" w:lineRule="atLeast"/>
              <w:ind w:right="-630"/>
              <w:jc w:val="both"/>
              <w:rPr>
                <w:rFonts w:ascii="GHEA Grapalat" w:hAnsi="GHEA Grapalat" w:cs="Calibri"/>
                <w:color w:val="000000"/>
                <w:sz w:val="18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Այլ եկա</w:t>
            </w:r>
            <w:r w:rsidR="003E7FAA" w:rsidRPr="003E7FAA">
              <w:rPr>
                <w:rFonts w:ascii="GHEA Grapalat" w:hAnsi="GHEA Grapalat" w:cs="Calibri"/>
                <w:color w:val="000000"/>
                <w:sz w:val="18"/>
                <w:szCs w:val="22"/>
              </w:rPr>
              <w:t>մուտներ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5B" w:rsidRPr="0072477E" w:rsidRDefault="00CD56F9" w:rsidP="00D46542">
            <w:pPr>
              <w:spacing w:before="120" w:after="120" w:line="23" w:lineRule="atLeast"/>
              <w:ind w:right="-630"/>
              <w:jc w:val="center"/>
              <w:rPr>
                <w:rFonts w:ascii="GHEA Grapalat" w:hAnsi="GHEA Grapalat" w:cs="Calibri"/>
                <w:color w:val="000000"/>
                <w:sz w:val="18"/>
                <w:szCs w:val="22"/>
              </w:rPr>
            </w:pPr>
            <w:r w:rsidRPr="00CD56F9">
              <w:rPr>
                <w:rFonts w:ascii="GHEA Grapalat" w:hAnsi="GHEA Grapalat" w:cs="Calibri"/>
                <w:color w:val="000000"/>
                <w:sz w:val="18"/>
                <w:szCs w:val="22"/>
              </w:rPr>
              <w:t>0.1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5B" w:rsidRPr="0072477E" w:rsidRDefault="00CD56F9" w:rsidP="00D46542">
            <w:pPr>
              <w:spacing w:before="120" w:after="120" w:line="23" w:lineRule="atLeast"/>
              <w:ind w:right="-630"/>
              <w:jc w:val="center"/>
              <w:rPr>
                <w:rFonts w:ascii="GHEA Grapalat" w:hAnsi="GHEA Grapalat" w:cs="Calibri"/>
                <w:color w:val="000000"/>
                <w:sz w:val="18"/>
                <w:szCs w:val="22"/>
              </w:rPr>
            </w:pPr>
            <w:r w:rsidRPr="00CD56F9">
              <w:rPr>
                <w:rFonts w:ascii="GHEA Grapalat" w:hAnsi="GHEA Grapalat" w:cs="Calibri"/>
                <w:color w:val="000000"/>
                <w:sz w:val="18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5B" w:rsidRPr="0072477E" w:rsidRDefault="00CD56F9" w:rsidP="00D46542">
            <w:pPr>
              <w:spacing w:before="120" w:after="120" w:line="23" w:lineRule="atLeast"/>
              <w:ind w:right="-630"/>
              <w:jc w:val="center"/>
              <w:rPr>
                <w:rFonts w:ascii="GHEA Grapalat" w:hAnsi="GHEA Grapalat" w:cs="Calibri"/>
                <w:color w:val="000000"/>
                <w:sz w:val="18"/>
                <w:szCs w:val="22"/>
              </w:rPr>
            </w:pPr>
            <w:r w:rsidRPr="00CD56F9">
              <w:rPr>
                <w:rFonts w:ascii="GHEA Grapalat" w:hAnsi="GHEA Grapalat" w:cs="Calibri"/>
                <w:color w:val="000000"/>
                <w:sz w:val="18"/>
                <w:szCs w:val="22"/>
              </w:rPr>
              <w:t>-</w:t>
            </w:r>
          </w:p>
        </w:tc>
      </w:tr>
    </w:tbl>
    <w:p w:rsidR="002A1876" w:rsidRPr="00131103" w:rsidRDefault="002A1876" w:rsidP="00CD56F9">
      <w:pPr>
        <w:spacing w:before="120" w:after="120" w:line="23" w:lineRule="atLeast"/>
        <w:ind w:left="-360" w:right="-630"/>
        <w:jc w:val="both"/>
        <w:rPr>
          <w:rFonts w:ascii="GHEA Grapalat" w:hAnsi="GHEA Grapalat"/>
          <w:szCs w:val="20"/>
        </w:rPr>
      </w:pPr>
    </w:p>
    <w:p w:rsidR="001C5FD0" w:rsidRPr="00131103" w:rsidRDefault="0084335E" w:rsidP="00CD56F9">
      <w:pPr>
        <w:pStyle w:val="ListParagraph"/>
        <w:numPr>
          <w:ilvl w:val="2"/>
          <w:numId w:val="4"/>
        </w:numPr>
        <w:spacing w:before="120" w:after="120" w:line="23" w:lineRule="atLeast"/>
        <w:ind w:left="-360" w:right="-630" w:firstLine="0"/>
        <w:jc w:val="both"/>
        <w:rPr>
          <w:rFonts w:ascii="GHEA Grapalat" w:hAnsi="GHEA Grapalat"/>
          <w:b/>
          <w:sz w:val="24"/>
          <w:szCs w:val="20"/>
        </w:rPr>
      </w:pPr>
      <w:r w:rsidRPr="00131103">
        <w:rPr>
          <w:rFonts w:ascii="GHEA Grapalat" w:hAnsi="GHEA Grapalat"/>
          <w:b/>
          <w:sz w:val="24"/>
          <w:szCs w:val="20"/>
        </w:rPr>
        <w:t>Ոլորտային ծախսերը ըստ բյուջետային գլխավոր կարգադրիչի</w:t>
      </w:r>
    </w:p>
    <w:p w:rsidR="002A1876" w:rsidRDefault="00B713B5" w:rsidP="00CD56F9">
      <w:pPr>
        <w:pStyle w:val="NormalWeb"/>
        <w:spacing w:before="120" w:beforeAutospacing="0" w:after="120" w:afterAutospacing="0" w:line="23" w:lineRule="atLeast"/>
        <w:ind w:left="-360" w:right="-630"/>
        <w:jc w:val="both"/>
      </w:pPr>
      <w:r w:rsidRPr="00306189">
        <w:rPr>
          <w:rFonts w:ascii="GHEA Grapalat" w:hAnsi="GHEA Grapalat"/>
          <w:bCs/>
          <w:noProof/>
        </w:rPr>
        <w:drawing>
          <wp:inline distT="0" distB="0" distL="0" distR="0" wp14:anchorId="4CA1325B" wp14:editId="5F15BD60">
            <wp:extent cx="6677025" cy="2759710"/>
            <wp:effectExtent l="0" t="0" r="9525" b="25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31103" w:rsidRPr="00131103" w:rsidRDefault="00131103" w:rsidP="00CD56F9">
      <w:pPr>
        <w:pStyle w:val="NormalWeb"/>
        <w:spacing w:before="120" w:beforeAutospacing="0" w:after="120" w:afterAutospacing="0" w:line="23" w:lineRule="atLeast"/>
        <w:ind w:left="-360" w:right="-630"/>
        <w:jc w:val="both"/>
      </w:pPr>
    </w:p>
    <w:p w:rsidR="00B478E5" w:rsidRPr="00B478E5" w:rsidRDefault="00131103" w:rsidP="00CD56F9">
      <w:pPr>
        <w:keepNext/>
        <w:tabs>
          <w:tab w:val="left" w:pos="1276"/>
        </w:tabs>
        <w:spacing w:before="120" w:after="120" w:line="23" w:lineRule="atLeast"/>
        <w:ind w:left="-360" w:right="-630"/>
        <w:jc w:val="both"/>
        <w:rPr>
          <w:rFonts w:ascii="GHEA Grapalat" w:eastAsia="Times New Roman" w:hAnsi="GHEA Grapalat" w:cs="Times New Roman"/>
          <w:b/>
          <w:bCs/>
          <w:sz w:val="18"/>
          <w:szCs w:val="18"/>
        </w:rPr>
      </w:pPr>
      <w:r>
        <w:rPr>
          <w:rFonts w:ascii="GHEA Grapalat" w:eastAsia="Times New Roman" w:hAnsi="GHEA Grapalat" w:cs="Times New Roman"/>
          <w:b/>
          <w:bCs/>
          <w:sz w:val="18"/>
          <w:szCs w:val="18"/>
        </w:rPr>
        <w:t>Աղյուսակ 2</w:t>
      </w:r>
      <w:r w:rsidR="00B478E5" w:rsidRPr="00B478E5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. </w:t>
      </w:r>
      <w:r>
        <w:rPr>
          <w:rFonts w:ascii="GHEA Grapalat" w:eastAsia="Times New Roman" w:hAnsi="GHEA Grapalat" w:cs="Times New Roman"/>
          <w:b/>
          <w:bCs/>
          <w:sz w:val="18"/>
          <w:szCs w:val="18"/>
        </w:rPr>
        <w:t>Ծ</w:t>
      </w:r>
      <w:r w:rsidR="00B478E5" w:rsidRPr="00B478E5">
        <w:rPr>
          <w:rFonts w:ascii="GHEA Grapalat" w:eastAsia="Times New Roman" w:hAnsi="GHEA Grapalat" w:cs="Times New Roman"/>
          <w:b/>
          <w:bCs/>
          <w:sz w:val="18"/>
          <w:szCs w:val="18"/>
        </w:rPr>
        <w:t>րագրերը և միջոցառումները</w:t>
      </w:r>
    </w:p>
    <w:tbl>
      <w:tblPr>
        <w:tblStyle w:val="TableGrid1"/>
        <w:tblW w:w="1053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150"/>
        <w:gridCol w:w="3510"/>
        <w:gridCol w:w="3870"/>
      </w:tblGrid>
      <w:tr w:rsidR="00B478E5" w:rsidRPr="00B478E5" w:rsidTr="00116497">
        <w:trPr>
          <w:trHeight w:val="485"/>
        </w:trPr>
        <w:tc>
          <w:tcPr>
            <w:tcW w:w="3150" w:type="dxa"/>
            <w:shd w:val="clear" w:color="auto" w:fill="DEEAF6" w:themeFill="accent1" w:themeFillTint="33"/>
          </w:tcPr>
          <w:p w:rsidR="00B478E5" w:rsidRPr="00CD56F9" w:rsidRDefault="00B478E5" w:rsidP="00CD56F9">
            <w:pPr>
              <w:spacing w:before="120" w:after="120" w:line="23" w:lineRule="atLeast"/>
              <w:ind w:right="-63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EEAF6" w:themeFill="accent1" w:themeFillTint="33"/>
          </w:tcPr>
          <w:p w:rsidR="00B478E5" w:rsidRPr="003E7FAA" w:rsidRDefault="00CD56F9" w:rsidP="00116497">
            <w:pPr>
              <w:spacing w:before="120" w:after="120" w:line="23" w:lineRule="atLeast"/>
              <w:ind w:right="-63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202</w:t>
            </w:r>
            <w:r w:rsidR="003E7FAA" w:rsidRPr="003E7FAA">
              <w:rPr>
                <w:rFonts w:ascii="GHEA Grapalat" w:hAnsi="GHEA Grapalat"/>
                <w:sz w:val="18"/>
                <w:szCs w:val="18"/>
              </w:rPr>
              <w:t xml:space="preserve">5թ. </w:t>
            </w:r>
            <w:r w:rsidR="00B14174">
              <w:rPr>
                <w:rFonts w:ascii="GHEA Grapalat" w:hAnsi="GHEA Grapalat"/>
                <w:sz w:val="18"/>
                <w:szCs w:val="18"/>
              </w:rPr>
              <w:t>հաստատված</w:t>
            </w:r>
          </w:p>
        </w:tc>
        <w:tc>
          <w:tcPr>
            <w:tcW w:w="3870" w:type="dxa"/>
            <w:shd w:val="clear" w:color="auto" w:fill="DEEAF6" w:themeFill="accent1" w:themeFillTint="33"/>
          </w:tcPr>
          <w:p w:rsidR="00B478E5" w:rsidRPr="003E7FAA" w:rsidRDefault="003E7FAA" w:rsidP="00116497">
            <w:pPr>
              <w:spacing w:before="120" w:after="120" w:line="23" w:lineRule="atLeast"/>
              <w:ind w:left="-360" w:right="-63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E7FAA">
              <w:rPr>
                <w:rFonts w:ascii="GHEA Grapalat" w:hAnsi="GHEA Grapalat"/>
                <w:sz w:val="18"/>
                <w:szCs w:val="18"/>
              </w:rPr>
              <w:t>2026թ. հաստատված</w:t>
            </w:r>
          </w:p>
        </w:tc>
      </w:tr>
      <w:tr w:rsidR="00B478E5" w:rsidRPr="00B478E5" w:rsidTr="00116497">
        <w:trPr>
          <w:trHeight w:val="458"/>
        </w:trPr>
        <w:tc>
          <w:tcPr>
            <w:tcW w:w="3150" w:type="dxa"/>
          </w:tcPr>
          <w:p w:rsidR="00CD56F9" w:rsidRPr="003E7FAA" w:rsidRDefault="00CD56F9" w:rsidP="00CD56F9">
            <w:pPr>
              <w:spacing w:before="120" w:after="120" w:line="23" w:lineRule="atLeast"/>
              <w:ind w:right="-63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ծր</w:t>
            </w:r>
            <w:r w:rsidR="003E7FAA" w:rsidRPr="003E7FAA">
              <w:rPr>
                <w:rFonts w:ascii="GHEA Grapalat" w:hAnsi="GHEA Grapalat"/>
                <w:sz w:val="18"/>
                <w:szCs w:val="18"/>
              </w:rPr>
              <w:t>ագիր (հատ)</w:t>
            </w:r>
          </w:p>
        </w:tc>
        <w:tc>
          <w:tcPr>
            <w:tcW w:w="3510" w:type="dxa"/>
          </w:tcPr>
          <w:p w:rsidR="00B478E5" w:rsidRPr="003E7FAA" w:rsidRDefault="00616F66" w:rsidP="00CD56F9">
            <w:pPr>
              <w:spacing w:before="120" w:after="120" w:line="23" w:lineRule="atLeast"/>
              <w:ind w:left="-360" w:right="-63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E7FAA">
              <w:rPr>
                <w:rFonts w:ascii="GHEA Grapalat" w:hAnsi="GHEA Grapalat"/>
                <w:sz w:val="18"/>
                <w:szCs w:val="18"/>
                <w:lang w:val="en-US"/>
              </w:rPr>
              <w:t>24</w:t>
            </w:r>
          </w:p>
        </w:tc>
        <w:tc>
          <w:tcPr>
            <w:tcW w:w="3870" w:type="dxa"/>
          </w:tcPr>
          <w:p w:rsidR="00B478E5" w:rsidRPr="003E7FAA" w:rsidRDefault="00616F66" w:rsidP="00CD56F9">
            <w:pPr>
              <w:spacing w:before="120" w:after="120" w:line="23" w:lineRule="atLeast"/>
              <w:ind w:left="-360" w:right="-63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E7FAA">
              <w:rPr>
                <w:rFonts w:ascii="GHEA Grapalat" w:hAnsi="GHEA Grapalat"/>
                <w:sz w:val="18"/>
                <w:szCs w:val="18"/>
                <w:lang w:val="en-US"/>
              </w:rPr>
              <w:t>24</w:t>
            </w:r>
          </w:p>
        </w:tc>
      </w:tr>
      <w:tr w:rsidR="00B478E5" w:rsidRPr="00B478E5" w:rsidTr="00116497">
        <w:trPr>
          <w:trHeight w:val="620"/>
        </w:trPr>
        <w:tc>
          <w:tcPr>
            <w:tcW w:w="3150" w:type="dxa"/>
          </w:tcPr>
          <w:p w:rsidR="00B478E5" w:rsidRPr="003E7FAA" w:rsidRDefault="00CD56F9" w:rsidP="00CD56F9">
            <w:pPr>
              <w:spacing w:before="120" w:after="120" w:line="23" w:lineRule="atLeast"/>
              <w:ind w:right="-63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մի</w:t>
            </w:r>
            <w:r w:rsidR="003E7FAA" w:rsidRPr="003E7FAA">
              <w:rPr>
                <w:rFonts w:ascii="GHEA Grapalat" w:hAnsi="GHEA Grapalat"/>
                <w:sz w:val="18"/>
                <w:szCs w:val="18"/>
              </w:rPr>
              <w:t>ջոցառում (հատ)</w:t>
            </w:r>
          </w:p>
        </w:tc>
        <w:tc>
          <w:tcPr>
            <w:tcW w:w="3510" w:type="dxa"/>
          </w:tcPr>
          <w:p w:rsidR="00B478E5" w:rsidRPr="003E7FAA" w:rsidRDefault="00616F66" w:rsidP="00CD56F9">
            <w:pPr>
              <w:spacing w:before="120" w:after="120" w:line="23" w:lineRule="atLeast"/>
              <w:ind w:left="-360" w:right="-63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E7FAA">
              <w:rPr>
                <w:rFonts w:ascii="GHEA Grapalat" w:hAnsi="GHEA Grapalat"/>
                <w:sz w:val="18"/>
                <w:szCs w:val="18"/>
                <w:lang w:val="en-US"/>
              </w:rPr>
              <w:t>237</w:t>
            </w:r>
          </w:p>
        </w:tc>
        <w:tc>
          <w:tcPr>
            <w:tcW w:w="3870" w:type="dxa"/>
          </w:tcPr>
          <w:p w:rsidR="00B478E5" w:rsidRPr="003E7FAA" w:rsidRDefault="00616F66" w:rsidP="00CD56F9">
            <w:pPr>
              <w:spacing w:before="120" w:after="120" w:line="23" w:lineRule="atLeast"/>
              <w:ind w:left="-360" w:right="-63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E7FAA">
              <w:rPr>
                <w:rFonts w:ascii="GHEA Grapalat" w:hAnsi="GHEA Grapalat"/>
                <w:sz w:val="18"/>
                <w:szCs w:val="18"/>
                <w:lang w:val="en-US"/>
              </w:rPr>
              <w:t>205</w:t>
            </w:r>
          </w:p>
        </w:tc>
      </w:tr>
      <w:tr w:rsidR="00B478E5" w:rsidRPr="00B478E5" w:rsidTr="00116497">
        <w:trPr>
          <w:trHeight w:val="440"/>
        </w:trPr>
        <w:tc>
          <w:tcPr>
            <w:tcW w:w="3150" w:type="dxa"/>
          </w:tcPr>
          <w:p w:rsidR="00B478E5" w:rsidRPr="003E7FAA" w:rsidRDefault="00CD56F9" w:rsidP="00CD56F9">
            <w:pPr>
              <w:spacing w:before="120" w:after="120" w:line="23" w:lineRule="atLeast"/>
              <w:ind w:right="-63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</w:t>
            </w:r>
            <w:r w:rsidR="003E7FAA" w:rsidRPr="003E7FAA">
              <w:rPr>
                <w:rFonts w:ascii="GHEA Grapalat" w:hAnsi="GHEA Grapalat"/>
                <w:sz w:val="18"/>
                <w:szCs w:val="18"/>
              </w:rPr>
              <w:t>տկացում (մլն դրամ)</w:t>
            </w:r>
          </w:p>
        </w:tc>
        <w:tc>
          <w:tcPr>
            <w:tcW w:w="3510" w:type="dxa"/>
          </w:tcPr>
          <w:p w:rsidR="00B478E5" w:rsidRPr="00AF617A" w:rsidRDefault="00AF617A" w:rsidP="00CD56F9">
            <w:pPr>
              <w:spacing w:before="120" w:after="120" w:line="23" w:lineRule="atLeast"/>
              <w:ind w:left="-360" w:right="-63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362,664.4</w:t>
            </w:r>
          </w:p>
        </w:tc>
        <w:tc>
          <w:tcPr>
            <w:tcW w:w="3870" w:type="dxa"/>
          </w:tcPr>
          <w:p w:rsidR="00B478E5" w:rsidRPr="007A3FA6" w:rsidRDefault="007A3FA6" w:rsidP="00CD56F9">
            <w:pPr>
              <w:spacing w:before="120" w:after="120" w:line="23" w:lineRule="atLeast"/>
              <w:ind w:left="-360" w:right="-63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419,955.8</w:t>
            </w:r>
          </w:p>
        </w:tc>
      </w:tr>
    </w:tbl>
    <w:p w:rsidR="002A1876" w:rsidRPr="0072477E" w:rsidRDefault="002A1876" w:rsidP="00CD56F9">
      <w:pPr>
        <w:spacing w:before="120" w:after="120" w:line="23" w:lineRule="atLeast"/>
        <w:ind w:left="-360" w:right="-630"/>
        <w:jc w:val="both"/>
        <w:rPr>
          <w:rFonts w:ascii="GHEA Grapalat" w:hAnsi="GHEA Grapalat"/>
          <w:b/>
          <w:sz w:val="28"/>
          <w:szCs w:val="20"/>
        </w:rPr>
      </w:pPr>
    </w:p>
    <w:p w:rsidR="001C5FD0" w:rsidRPr="0072477E" w:rsidRDefault="001C5FD0" w:rsidP="00B32086">
      <w:pPr>
        <w:pStyle w:val="TOC4"/>
        <w:spacing w:before="120" w:after="120" w:line="23" w:lineRule="atLeast"/>
        <w:ind w:right="-360"/>
        <w:jc w:val="both"/>
        <w:rPr>
          <w:sz w:val="22"/>
          <w:szCs w:val="22"/>
          <w:lang w:val="hy-AM"/>
        </w:rPr>
      </w:pPr>
      <w:bookmarkStart w:id="2" w:name="OLE_LINK4"/>
      <w:r w:rsidRPr="0072477E">
        <w:rPr>
          <w:sz w:val="22"/>
          <w:szCs w:val="22"/>
          <w:lang w:val="hy-AM"/>
        </w:rPr>
        <w:t>ԿՐԹՈՒԹՅՈՒՆ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ՀՀ ԿԳՄՍ</w:t>
      </w:r>
      <w:r w:rsidR="007A7A33">
        <w:rPr>
          <w:b/>
          <w:sz w:val="22"/>
          <w:szCs w:val="22"/>
          <w:lang w:val="hy-AM"/>
        </w:rPr>
        <w:t xml:space="preserve"> նախարարության</w:t>
      </w:r>
      <w:r w:rsidRPr="0072477E">
        <w:rPr>
          <w:b/>
          <w:sz w:val="22"/>
          <w:szCs w:val="22"/>
          <w:lang w:val="hy-AM"/>
        </w:rPr>
        <w:t xml:space="preserve"> գծով ՀՀ 202</w:t>
      </w:r>
      <w:r w:rsidR="00F13080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 պետական բյուջեով նախատեսվում է հատկացնել </w:t>
      </w:r>
      <w:r w:rsidR="00F13080" w:rsidRPr="0072477E">
        <w:rPr>
          <w:b/>
          <w:sz w:val="22"/>
          <w:szCs w:val="22"/>
          <w:lang w:val="hy-AM"/>
        </w:rPr>
        <w:t>4</w:t>
      </w:r>
      <w:r w:rsidR="005D691B">
        <w:rPr>
          <w:b/>
          <w:sz w:val="22"/>
          <w:szCs w:val="22"/>
          <w:lang w:val="hy-AM"/>
        </w:rPr>
        <w:t>19</w:t>
      </w:r>
      <w:r w:rsidRPr="0072477E">
        <w:rPr>
          <w:b/>
          <w:sz w:val="22"/>
          <w:szCs w:val="22"/>
          <w:lang w:val="hy-AM"/>
        </w:rPr>
        <w:t>,</w:t>
      </w:r>
      <w:r w:rsidR="005D691B">
        <w:rPr>
          <w:b/>
          <w:sz w:val="22"/>
          <w:szCs w:val="22"/>
          <w:lang w:val="hy-AM"/>
        </w:rPr>
        <w:t>955</w:t>
      </w:r>
      <w:r w:rsidRPr="0072477E">
        <w:rPr>
          <w:b/>
          <w:sz w:val="22"/>
          <w:szCs w:val="22"/>
          <w:lang w:val="hy-AM"/>
        </w:rPr>
        <w:t>.</w:t>
      </w:r>
      <w:r w:rsidR="00916BCA" w:rsidRPr="00833B84">
        <w:rPr>
          <w:b/>
          <w:sz w:val="22"/>
          <w:szCs w:val="22"/>
          <w:lang w:val="hy-AM"/>
        </w:rPr>
        <w:t>8</w:t>
      </w:r>
      <w:r w:rsidRPr="0072477E">
        <w:rPr>
          <w:b/>
          <w:sz w:val="22"/>
          <w:szCs w:val="22"/>
          <w:lang w:val="hy-AM"/>
        </w:rPr>
        <w:t xml:space="preserve"> մլն դրամ (ներառյալ կառավարման ապարատի պահպանման ծախսերը):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 w:eastAsia="ru-RU"/>
        </w:rPr>
      </w:pPr>
      <w:r w:rsidRPr="0072477E">
        <w:rPr>
          <w:sz w:val="22"/>
          <w:szCs w:val="22"/>
          <w:lang w:val="hy-AM"/>
        </w:rPr>
        <w:t>Հատկացվելիք միջոցներն ուղղվելու են հետևյալ ծրագրերի իրականացմանը.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Մասնագիտական կրթության և ուսուցման ծրագրի գծով 202</w:t>
      </w:r>
      <w:r w:rsidR="00F13080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 1</w:t>
      </w:r>
      <w:r w:rsidR="00F13080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>,</w:t>
      </w:r>
      <w:r w:rsidR="00F13080" w:rsidRPr="0072477E">
        <w:rPr>
          <w:b/>
          <w:sz w:val="22"/>
          <w:szCs w:val="22"/>
          <w:lang w:val="hy-AM"/>
        </w:rPr>
        <w:t>414</w:t>
      </w:r>
      <w:r w:rsidRPr="0072477E">
        <w:rPr>
          <w:b/>
          <w:sz w:val="22"/>
          <w:szCs w:val="22"/>
          <w:lang w:val="hy-AM"/>
        </w:rPr>
        <w:t>.</w:t>
      </w:r>
      <w:r w:rsidR="00F13080" w:rsidRPr="0072477E">
        <w:rPr>
          <w:b/>
          <w:sz w:val="22"/>
          <w:szCs w:val="22"/>
          <w:lang w:val="hy-AM"/>
        </w:rPr>
        <w:t>1</w:t>
      </w:r>
      <w:r w:rsidRPr="0072477E">
        <w:rPr>
          <w:b/>
          <w:sz w:val="22"/>
          <w:szCs w:val="22"/>
          <w:lang w:val="hy-AM"/>
        </w:rPr>
        <w:t xml:space="preserve"> մլն դրամ: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Ծրագրի նպատակն է՝ աշխատաշուկայի արդի պահանջներին համապատասխան արհեստագործական և միջին մասնագիտական կրթության որակավորում ունեցող մասնագետների պատրաստումը, կրթության մատչելիության ապահովումը: Ծրագրով ծախսերը նախատեսվել են հանրապետության 20 արհեստագործական ուսումնարաններում արհեստագործական կրթության մեջ ընդգրկվող </w:t>
      </w:r>
      <w:r w:rsidR="00C63474" w:rsidRPr="0072477E">
        <w:rPr>
          <w:sz w:val="22"/>
          <w:szCs w:val="22"/>
          <w:lang w:val="hy-AM"/>
        </w:rPr>
        <w:t>7</w:t>
      </w:r>
      <w:r w:rsidRPr="0072477E">
        <w:rPr>
          <w:sz w:val="22"/>
          <w:szCs w:val="22"/>
          <w:lang w:val="hy-AM"/>
        </w:rPr>
        <w:t>.</w:t>
      </w:r>
      <w:r w:rsidR="00C63474" w:rsidRPr="0072477E">
        <w:rPr>
          <w:sz w:val="22"/>
          <w:szCs w:val="22"/>
          <w:lang w:val="hy-AM"/>
        </w:rPr>
        <w:t>6</w:t>
      </w:r>
      <w:r w:rsidRPr="0072477E">
        <w:rPr>
          <w:sz w:val="22"/>
          <w:szCs w:val="22"/>
          <w:lang w:val="hy-AM"/>
        </w:rPr>
        <w:t xml:space="preserve"> հազար սովորողների, 65 հաստատություններում միջին մասնագիտական կրթության մեջ ընդգրկվող 19.</w:t>
      </w:r>
      <w:r w:rsidR="00C63474" w:rsidRPr="0072477E">
        <w:rPr>
          <w:sz w:val="22"/>
          <w:szCs w:val="22"/>
          <w:lang w:val="hy-AM"/>
        </w:rPr>
        <w:t>2</w:t>
      </w:r>
      <w:r w:rsidRPr="0072477E">
        <w:rPr>
          <w:sz w:val="22"/>
          <w:szCs w:val="22"/>
          <w:lang w:val="hy-AM"/>
        </w:rPr>
        <w:t xml:space="preserve"> հազար սովորողների ուսուցման գծով: Պետական բյուջեով միջոցներ են նախատեսվել ՀՀ կառավարության կողմից հաստատված առաջնահերթ և կարևոր ոլորտների մասնագիտությունների ցանկով հիմնական կրթության հիմքով ընդունված ուսանողներին տրվող կրթաթոշակների գծով: Միջոցներ են նախատեսվել նաև ատեստավորման արդյունքում, ինչպես նաև տարակարգի որակավորում ստացած մանկավարժական աշխատողներին հավելավճարների տրամադրման, մարզերում գործող  մասնագիտական ուսումնական հաստատությունների ուսանողների և մանկավարժական աշխատողների տրանսպորտային ծախսերի փոխհատուցման, 2023 թվականի սեպտեմբերի 19-ից հետո Ղարաբաղից բռնի տեղահանված և ՀՀ-ում արհեստագործական և միջին մասնագիտական հիմնական կրթական ծրագրերում ընդգրկված ուսանողների ուսման վարձի փոխհատուցման նպատակով կրթաթոշակի տրամադրման, ուսումնական հաստատությունների շենքային պայմանների բարելավման և կառուցման, ուսումնաարտադրական բազայով ապահովման նպատակով: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Մասնագիտական կրթության և ուսուցման ոլորտի բարեփոխումներն ամրագրված են ՀՀ կառավարության ծրագրի «4.3 Կրթություն» բաժնում: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Բարձրագույն և հետբուհական մասնագիտական կրթությ</w:t>
      </w:r>
      <w:bookmarkStart w:id="3" w:name="_GoBack"/>
      <w:bookmarkEnd w:id="3"/>
      <w:r w:rsidRPr="0072477E">
        <w:rPr>
          <w:b/>
          <w:sz w:val="22"/>
          <w:szCs w:val="22"/>
          <w:lang w:val="hy-AM"/>
        </w:rPr>
        <w:t>ան ծրագրի գծով 202</w:t>
      </w:r>
      <w:r w:rsidR="0071086D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 1</w:t>
      </w:r>
      <w:r w:rsidR="0071086D" w:rsidRPr="0072477E">
        <w:rPr>
          <w:b/>
          <w:sz w:val="22"/>
          <w:szCs w:val="22"/>
          <w:lang w:val="hy-AM"/>
        </w:rPr>
        <w:t>3</w:t>
      </w:r>
      <w:r w:rsidRPr="0072477E">
        <w:rPr>
          <w:b/>
          <w:sz w:val="22"/>
          <w:szCs w:val="22"/>
          <w:lang w:val="hy-AM"/>
        </w:rPr>
        <w:t>,</w:t>
      </w:r>
      <w:r w:rsidR="0071086D" w:rsidRPr="0072477E">
        <w:rPr>
          <w:b/>
          <w:sz w:val="22"/>
          <w:szCs w:val="22"/>
          <w:lang w:val="hy-AM"/>
        </w:rPr>
        <w:t>331.5</w:t>
      </w:r>
      <w:r w:rsidRPr="0072477E">
        <w:rPr>
          <w:b/>
          <w:sz w:val="22"/>
          <w:szCs w:val="22"/>
          <w:lang w:val="hy-AM"/>
        </w:rPr>
        <w:t xml:space="preserve"> մլն դրամ: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Ծրագրի նպատակն է՝ ապահովել մատչելի, որակյալ և մրցունակ բարձրագույն և հետբուհական մասնագիտական կրթություն: Ծրագրով ծախսերը նախատեսվել են </w:t>
      </w:r>
      <w:r w:rsidRPr="0070135F">
        <w:rPr>
          <w:color w:val="auto"/>
          <w:sz w:val="22"/>
          <w:szCs w:val="22"/>
          <w:lang w:val="hy-AM"/>
        </w:rPr>
        <w:t xml:space="preserve">12.3 </w:t>
      </w:r>
      <w:r w:rsidRPr="0072477E">
        <w:rPr>
          <w:sz w:val="22"/>
          <w:szCs w:val="22"/>
          <w:lang w:val="hy-AM"/>
        </w:rPr>
        <w:t>հազար ուսանողների կրթության, մարտական գործողություններին մասնակցած ուսանողների, երկու և ավելի անչափահաս երեխա ունեցող ուսանողների ուսման վճարի մասնակի փոխհատուցման գծով: Պետական բյուջեով միջոցներ են նախատեսվել պետության համար առաջնային և կարևորություն ներկայացնող մանկավարժական և ագրարային մասնագիտություններով (կրթական ծրագրերով) ՀՀ բուհերում բակալավրի և մագիստրոսի կրթական աստիճաններով առկա ուսուցմամբ սովորողներին տրվող պետական կրթաթոշակների գծով, 2023 թվականի սեպտեմբերի 19-ից հետո Ղարաբաղից բռնի տեղահանված և ՀՀ-ում բարձրագույն մասնագիտական կրթություն ստացող ուսանողներին ուսման վարձի լրիվ կամ մասնակի փոխհատուցման գծով կրթաթոշակի տրամադրման նպատակով</w:t>
      </w:r>
      <w:r w:rsidR="00C63474" w:rsidRPr="0072477E">
        <w:rPr>
          <w:sz w:val="22"/>
          <w:szCs w:val="22"/>
          <w:lang w:val="hy-AM"/>
        </w:rPr>
        <w:t>:</w:t>
      </w:r>
      <w:r w:rsidRPr="0072477E">
        <w:rPr>
          <w:sz w:val="22"/>
          <w:szCs w:val="22"/>
          <w:lang w:val="hy-AM"/>
        </w:rPr>
        <w:t xml:space="preserve">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Բարձրագույն կրթության ոլորտի բարեփոխումներն ամրագրված են ՀՀ կառավարության ծրագրի «4.3 Կրթություն» բաժնում: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Հանրակրթության ծրագրի գծով 202</w:t>
      </w:r>
      <w:r w:rsidR="00C63474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 13</w:t>
      </w:r>
      <w:r w:rsidR="00C63474" w:rsidRPr="0072477E">
        <w:rPr>
          <w:b/>
          <w:sz w:val="22"/>
          <w:szCs w:val="22"/>
          <w:lang w:val="hy-AM"/>
        </w:rPr>
        <w:t>9</w:t>
      </w:r>
      <w:r w:rsidRPr="0072477E">
        <w:rPr>
          <w:b/>
          <w:sz w:val="22"/>
          <w:szCs w:val="22"/>
          <w:lang w:val="hy-AM"/>
        </w:rPr>
        <w:t>,7</w:t>
      </w:r>
      <w:r w:rsidR="009E535D">
        <w:rPr>
          <w:b/>
          <w:sz w:val="22"/>
          <w:szCs w:val="22"/>
          <w:lang w:val="hy-AM"/>
        </w:rPr>
        <w:t>31</w:t>
      </w:r>
      <w:r w:rsidRPr="0072477E">
        <w:rPr>
          <w:b/>
          <w:sz w:val="22"/>
          <w:szCs w:val="22"/>
          <w:lang w:val="hy-AM"/>
        </w:rPr>
        <w:t>.</w:t>
      </w:r>
      <w:r w:rsidR="009E535D">
        <w:rPr>
          <w:b/>
          <w:sz w:val="22"/>
          <w:szCs w:val="22"/>
          <w:lang w:val="hy-AM"/>
        </w:rPr>
        <w:t>8</w:t>
      </w:r>
      <w:r w:rsidRPr="0072477E">
        <w:rPr>
          <w:b/>
          <w:sz w:val="22"/>
          <w:szCs w:val="22"/>
          <w:lang w:val="hy-AM"/>
        </w:rPr>
        <w:t xml:space="preserve"> մլն դրամ: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Ծրագրի նպատակն է՝ ապահովել անվճար և որակյալ հանրակրթություն: Ծրագրի շրջանակներում միջոցներ են նախատեսվել պարտադիր կրթության երեք մակարդակներում սովորողների ուսուցման գծով: Մասնավորապես. ծախսերը հաշվարկվել են 132</w:t>
      </w:r>
      <w:r w:rsidR="00C63474" w:rsidRPr="0072477E">
        <w:rPr>
          <w:sz w:val="22"/>
          <w:szCs w:val="22"/>
          <w:lang w:val="hy-AM"/>
        </w:rPr>
        <w:t>1</w:t>
      </w:r>
      <w:r w:rsidRPr="0072477E">
        <w:rPr>
          <w:sz w:val="22"/>
          <w:szCs w:val="22"/>
          <w:lang w:val="hy-AM"/>
        </w:rPr>
        <w:t xml:space="preserve"> հանրակրթական դպրոցների 2</w:t>
      </w:r>
      <w:r w:rsidR="00C63474" w:rsidRPr="0072477E">
        <w:rPr>
          <w:sz w:val="22"/>
          <w:szCs w:val="22"/>
          <w:lang w:val="hy-AM"/>
        </w:rPr>
        <w:t>1</w:t>
      </w:r>
      <w:r w:rsidRPr="0072477E">
        <w:rPr>
          <w:sz w:val="22"/>
          <w:szCs w:val="22"/>
          <w:lang w:val="hy-AM"/>
        </w:rPr>
        <w:t>.</w:t>
      </w:r>
      <w:r w:rsidR="00C63474" w:rsidRPr="0072477E">
        <w:rPr>
          <w:sz w:val="22"/>
          <w:szCs w:val="22"/>
          <w:lang w:val="hy-AM"/>
        </w:rPr>
        <w:t>2</w:t>
      </w:r>
      <w:r w:rsidRPr="0072477E">
        <w:rPr>
          <w:sz w:val="22"/>
          <w:szCs w:val="22"/>
          <w:lang w:val="hy-AM"/>
        </w:rPr>
        <w:t xml:space="preserve"> հազար դասարաններում ընդգրկվող, միջին տարեկան հաշվարկով, 4</w:t>
      </w:r>
      <w:r w:rsidR="00C63474" w:rsidRPr="0072477E">
        <w:rPr>
          <w:sz w:val="22"/>
          <w:szCs w:val="22"/>
          <w:lang w:val="hy-AM"/>
        </w:rPr>
        <w:t>17</w:t>
      </w:r>
      <w:r w:rsidRPr="0072477E">
        <w:rPr>
          <w:sz w:val="22"/>
          <w:szCs w:val="22"/>
          <w:lang w:val="hy-AM"/>
        </w:rPr>
        <w:t>.4 հազար աշակերտի ուսուցման, հատուկ և մասնագիտացված հանրակրթության մեջ ընդգրկվող՝ համապատասխանաբար, 0.5 և 3.</w:t>
      </w:r>
      <w:r w:rsidR="00C63474" w:rsidRPr="0072477E">
        <w:rPr>
          <w:sz w:val="22"/>
          <w:szCs w:val="22"/>
          <w:lang w:val="hy-AM"/>
        </w:rPr>
        <w:t>6</w:t>
      </w:r>
      <w:r w:rsidRPr="0072477E">
        <w:rPr>
          <w:sz w:val="22"/>
          <w:szCs w:val="22"/>
          <w:lang w:val="hy-AM"/>
        </w:rPr>
        <w:t xml:space="preserve"> հազար սովորողների կրթության գծով: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 w:eastAsia="ru-RU"/>
        </w:rPr>
      </w:pPr>
      <w:r w:rsidRPr="0072477E">
        <w:rPr>
          <w:sz w:val="22"/>
          <w:szCs w:val="22"/>
          <w:lang w:val="hy-AM"/>
        </w:rPr>
        <w:t xml:space="preserve">Ծրագրի շրջանակներում միջոցներ են նախատեսվել կրթական հաստատությունների աշակերտներին դասագրքերով և ուսումնական գրականությամբ ապահովման, սոցիալական աջակցություն ստացող ՀՀ սահմանամերձ համայնքների և Ղարաբաղից բռնի տեղահանված երեխաների դասագրքերի վարձավճարների փոխհատուցման, hանրակրթական դպրոցների մանկավարժներին և դպրոցահասակ երեխաներին տրանսպորտային ծախսերի փոխհատուցման գծով: Ծախսեր են նախատեսվել նաև սովորողների միջազգային գնահատման ծրագրին (PISA) մասնակցության, ՀՀ պետական հանրակրթական բոլոր ուսումնական հաստատություններում </w:t>
      </w:r>
      <w:r w:rsidR="00532E4F">
        <w:rPr>
          <w:sz w:val="22"/>
          <w:szCs w:val="22"/>
          <w:lang w:val="hy-AM"/>
        </w:rPr>
        <w:t xml:space="preserve">բնագիտական, </w:t>
      </w:r>
      <w:r w:rsidR="00456619">
        <w:rPr>
          <w:sz w:val="22"/>
          <w:szCs w:val="22"/>
          <w:lang w:val="hy-AM"/>
        </w:rPr>
        <w:t xml:space="preserve">տեխնոլոգիական, </w:t>
      </w:r>
      <w:r w:rsidR="00532E4F">
        <w:rPr>
          <w:sz w:val="22"/>
          <w:szCs w:val="22"/>
          <w:lang w:val="hy-AM"/>
        </w:rPr>
        <w:t>ճարտարագիտական</w:t>
      </w:r>
      <w:r w:rsidRPr="0072477E">
        <w:rPr>
          <w:sz w:val="22"/>
          <w:szCs w:val="22"/>
          <w:lang w:val="hy-AM"/>
        </w:rPr>
        <w:t xml:space="preserve"> ոլորտի (բացառությամբ մաթեմատիկայի) և գյուղական բնակավայրերում մինչև 100 աշակերտ ունեցող դպրոցներում դասավանդող, համապատասխանաբար՝ 8</w:t>
      </w:r>
      <w:r w:rsidR="00C63474" w:rsidRPr="0072477E">
        <w:rPr>
          <w:sz w:val="22"/>
          <w:szCs w:val="22"/>
          <w:lang w:val="hy-AM"/>
        </w:rPr>
        <w:t>.9</w:t>
      </w:r>
      <w:r w:rsidRPr="0072477E">
        <w:rPr>
          <w:sz w:val="22"/>
          <w:szCs w:val="22"/>
          <w:lang w:val="hy-AM"/>
        </w:rPr>
        <w:t xml:space="preserve"> և 3</w:t>
      </w:r>
      <w:r w:rsidR="00C63474" w:rsidRPr="0072477E">
        <w:rPr>
          <w:sz w:val="22"/>
          <w:szCs w:val="22"/>
          <w:lang w:val="hy-AM"/>
        </w:rPr>
        <w:t>.3</w:t>
      </w:r>
      <w:r w:rsidRPr="0072477E">
        <w:rPr>
          <w:sz w:val="22"/>
          <w:szCs w:val="22"/>
          <w:lang w:val="hy-AM"/>
        </w:rPr>
        <w:t xml:space="preserve"> </w:t>
      </w:r>
      <w:r w:rsidR="00C63474" w:rsidRPr="0072477E">
        <w:rPr>
          <w:sz w:val="22"/>
          <w:szCs w:val="22"/>
          <w:lang w:val="hy-AM"/>
        </w:rPr>
        <w:t xml:space="preserve">հազար </w:t>
      </w:r>
      <w:r w:rsidRPr="0072477E">
        <w:rPr>
          <w:sz w:val="22"/>
          <w:szCs w:val="22"/>
          <w:lang w:val="hy-AM"/>
        </w:rPr>
        <w:t xml:space="preserve">ուսուցիչներին հավելավճարների տրամադրման, 2023 թվականին Ղարաբաղից բռնի տեղահանված և մարզերի հանրակրթական դպրոցներում դասավանդող </w:t>
      </w:r>
      <w:r w:rsidR="00C63474" w:rsidRPr="0072477E">
        <w:rPr>
          <w:sz w:val="22"/>
          <w:szCs w:val="22"/>
          <w:lang w:val="hy-AM"/>
        </w:rPr>
        <w:t>0.</w:t>
      </w:r>
      <w:r w:rsidR="007C0B4B">
        <w:rPr>
          <w:sz w:val="22"/>
          <w:szCs w:val="22"/>
          <w:lang w:val="hy-AM"/>
        </w:rPr>
        <w:t>4</w:t>
      </w:r>
      <w:r w:rsidR="00C63474" w:rsidRPr="0072477E">
        <w:rPr>
          <w:sz w:val="22"/>
          <w:szCs w:val="22"/>
          <w:lang w:val="hy-AM"/>
        </w:rPr>
        <w:t xml:space="preserve"> հազար</w:t>
      </w:r>
      <w:r w:rsidRPr="0072477E">
        <w:rPr>
          <w:sz w:val="22"/>
          <w:szCs w:val="22"/>
          <w:lang w:val="hy-AM"/>
        </w:rPr>
        <w:t xml:space="preserve"> ուսուցիչների օժանդակության ծրագրի գծով: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Հանրակրթության վերաբերյալ դրույթներն ամրագրված են ՀՀ կառավարության ծրագրի «4.3 Կրթություն» բաժնում: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Արտադպրոցական դաստիարակության ծրագրի գծով 202</w:t>
      </w:r>
      <w:r w:rsidR="00C63474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 </w:t>
      </w:r>
      <w:r w:rsidR="00C63474" w:rsidRPr="0072477E">
        <w:rPr>
          <w:b/>
          <w:sz w:val="22"/>
          <w:szCs w:val="22"/>
          <w:lang w:val="hy-AM"/>
        </w:rPr>
        <w:t>4</w:t>
      </w:r>
      <w:r w:rsidRPr="0072477E">
        <w:rPr>
          <w:b/>
          <w:sz w:val="22"/>
          <w:szCs w:val="22"/>
          <w:lang w:val="hy-AM"/>
        </w:rPr>
        <w:t>,</w:t>
      </w:r>
      <w:r w:rsidR="00C63474" w:rsidRPr="0072477E">
        <w:rPr>
          <w:b/>
          <w:sz w:val="22"/>
          <w:szCs w:val="22"/>
          <w:lang w:val="hy-AM"/>
        </w:rPr>
        <w:t>008</w:t>
      </w:r>
      <w:r w:rsidRPr="0072477E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Pr="0072477E">
        <w:rPr>
          <w:b/>
          <w:sz w:val="22"/>
          <w:szCs w:val="22"/>
          <w:lang w:val="hy-AM"/>
        </w:rPr>
        <w:t>7 մլն դրամ: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Ծրագրի նպատակն է՝ նպաստել հանրակրթական ուսուցման համակարգում ընդգրկված երեխաների ֆիզիկական, հոգևոր և գեղագիտական զարգացմանը, բնապահպանական և կիրառական գիտելիքների ձեռքբերմանը: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Ծրագրի շրջանակներում միջոցներ են նախատեսվել 3200 դպրոցականների ամառային հանգստի,</w:t>
      </w:r>
      <w:r w:rsidR="00C63474" w:rsidRPr="0072477E">
        <w:rPr>
          <w:sz w:val="22"/>
          <w:szCs w:val="22"/>
          <w:lang w:val="hy-AM"/>
        </w:rPr>
        <w:t xml:space="preserve"> </w:t>
      </w:r>
      <w:r w:rsidRPr="0072477E">
        <w:rPr>
          <w:sz w:val="22"/>
          <w:szCs w:val="22"/>
          <w:lang w:val="hy-AM"/>
        </w:rPr>
        <w:t>ատեստավորման արդյունքում արտադպրոցական ուսումնական հաստատություններում դասավանդող մանկավարժական աշխատողներին հավելավճարների տրամադրման գծով: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Արտադպրոցական դաստիարակության վերաբերյալ դրույթներն ամրագրված են ՀՀ կառավարության ծրագրի «4.3 Կրթություն»,  «4.8 Սպորտ» բաժիններում,  «4.9 Մշակույթ» բաժնի մշակութային կրթության վերաբերյալ ենթաբաժնում: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Ապահով դպրոց ծրագրի գծով 202</w:t>
      </w:r>
      <w:r w:rsidR="00C63474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 </w:t>
      </w:r>
      <w:r w:rsidR="00C63474" w:rsidRPr="0072477E">
        <w:rPr>
          <w:b/>
          <w:sz w:val="22"/>
          <w:szCs w:val="22"/>
          <w:lang w:val="hy-AM"/>
        </w:rPr>
        <w:t>836</w:t>
      </w:r>
      <w:r w:rsidRPr="0072477E">
        <w:rPr>
          <w:b/>
          <w:sz w:val="22"/>
          <w:szCs w:val="22"/>
          <w:lang w:val="hy-AM"/>
        </w:rPr>
        <w:t>.</w:t>
      </w:r>
      <w:r w:rsidR="00833B84" w:rsidRPr="00B713B5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մլն դրամ: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Ծրագրի նպատակն է՝ դպրոցներին սպառնացող աղետների ռիսկի կառավարման կարողությունների հզորացում, դպրոցի անձնակազմի և աշակերտների անվտանգության ապահովման մակարդակի բարձրացում՝ կիրառելով ներառական և երեխայակենտրոն մոտեցում: Միաժամանակ, Դպրոցների սեյսմիկ անվտանգության մակարդակի բարձրացման ծրագրի գծով</w:t>
      </w:r>
      <w:r w:rsidR="00C63474" w:rsidRPr="0072477E">
        <w:rPr>
          <w:sz w:val="22"/>
          <w:szCs w:val="22"/>
          <w:lang w:val="hy-AM"/>
        </w:rPr>
        <w:t xml:space="preserve"> 2026</w:t>
      </w:r>
      <w:r w:rsidRPr="0072477E">
        <w:rPr>
          <w:sz w:val="22"/>
          <w:szCs w:val="22"/>
          <w:lang w:val="hy-AM"/>
        </w:rPr>
        <w:t xml:space="preserve"> թվականին նախատեսվում է հատկացնել</w:t>
      </w:r>
      <w:r w:rsidR="00C63474" w:rsidRPr="0072477E">
        <w:rPr>
          <w:sz w:val="22"/>
          <w:szCs w:val="22"/>
          <w:lang w:val="hy-AM"/>
        </w:rPr>
        <w:t xml:space="preserve"> 8</w:t>
      </w:r>
      <w:r w:rsidRPr="0072477E">
        <w:rPr>
          <w:sz w:val="22"/>
          <w:szCs w:val="22"/>
          <w:lang w:val="hy-AM"/>
        </w:rPr>
        <w:t>,</w:t>
      </w:r>
      <w:r w:rsidR="00580BF4">
        <w:rPr>
          <w:sz w:val="22"/>
          <w:szCs w:val="22"/>
          <w:lang w:val="hy-AM"/>
        </w:rPr>
        <w:t>574</w:t>
      </w:r>
      <w:r w:rsidRPr="0072477E">
        <w:rPr>
          <w:sz w:val="22"/>
          <w:szCs w:val="22"/>
          <w:lang w:val="hy-AM"/>
        </w:rPr>
        <w:t>.</w:t>
      </w:r>
      <w:r w:rsidR="00580BF4">
        <w:rPr>
          <w:sz w:val="22"/>
          <w:szCs w:val="22"/>
          <w:lang w:val="hy-AM"/>
        </w:rPr>
        <w:t>8</w:t>
      </w:r>
      <w:r w:rsidRPr="0072477E">
        <w:rPr>
          <w:sz w:val="22"/>
          <w:szCs w:val="22"/>
          <w:lang w:val="hy-AM"/>
        </w:rPr>
        <w:t xml:space="preserve"> մլն դրամ:</w:t>
      </w:r>
      <w:r w:rsidR="00C63474" w:rsidRPr="0072477E">
        <w:rPr>
          <w:sz w:val="22"/>
          <w:szCs w:val="22"/>
          <w:lang w:val="hy-AM"/>
        </w:rPr>
        <w:t xml:space="preserve"> Նշված ծրագրի շրջանակներում 857.</w:t>
      </w:r>
      <w:r w:rsidR="00580BF4">
        <w:rPr>
          <w:sz w:val="22"/>
          <w:szCs w:val="22"/>
          <w:lang w:val="hy-AM"/>
        </w:rPr>
        <w:t>5</w:t>
      </w:r>
      <w:r w:rsidR="00C63474" w:rsidRPr="0072477E">
        <w:rPr>
          <w:sz w:val="22"/>
          <w:szCs w:val="22"/>
          <w:lang w:val="hy-AM"/>
        </w:rPr>
        <w:t xml:space="preserve"> մլն դրամ է նախատեսվել Բարգավաճ և դիմակայուն Ասիայի և Խաղաղ օվկիանոսի Ճապոնիայի հիմնադրամի աջակցությամբ իրականացվելիք դպրոցի շենքային ապահովվածության բարելավման նպատակով: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«Հանրակրթական և նախադպրոցական հաստատությունների հիմնում, կառուցում, բարելավում» ծրագրի գծով</w:t>
      </w:r>
      <w:r w:rsidR="005D3100" w:rsidRPr="0072477E">
        <w:rPr>
          <w:sz w:val="22"/>
          <w:szCs w:val="22"/>
          <w:lang w:val="hy-AM"/>
        </w:rPr>
        <w:t xml:space="preserve"> 2026</w:t>
      </w:r>
      <w:r w:rsidRPr="0072477E">
        <w:rPr>
          <w:sz w:val="22"/>
          <w:szCs w:val="22"/>
          <w:lang w:val="hy-AM"/>
        </w:rPr>
        <w:t xml:space="preserve"> թվականին նախատեսվում է հատկացնել </w:t>
      </w:r>
      <w:r w:rsidR="005D3100" w:rsidRPr="0072477E">
        <w:rPr>
          <w:sz w:val="22"/>
          <w:szCs w:val="22"/>
          <w:lang w:val="hy-AM"/>
        </w:rPr>
        <w:t>1</w:t>
      </w:r>
      <w:r w:rsidR="00D10768">
        <w:rPr>
          <w:sz w:val="22"/>
          <w:szCs w:val="22"/>
          <w:lang w:val="hy-AM"/>
        </w:rPr>
        <w:t>37</w:t>
      </w:r>
      <w:r w:rsidRPr="0072477E">
        <w:rPr>
          <w:sz w:val="22"/>
          <w:szCs w:val="22"/>
          <w:lang w:val="hy-AM"/>
        </w:rPr>
        <w:t>,</w:t>
      </w:r>
      <w:r w:rsidR="00D10768">
        <w:rPr>
          <w:sz w:val="22"/>
          <w:szCs w:val="22"/>
          <w:lang w:val="hy-AM"/>
        </w:rPr>
        <w:t>140</w:t>
      </w:r>
      <w:r w:rsidRPr="0072477E">
        <w:rPr>
          <w:sz w:val="22"/>
          <w:szCs w:val="22"/>
          <w:lang w:val="hy-AM"/>
        </w:rPr>
        <w:t>.</w:t>
      </w:r>
      <w:r w:rsidR="00D10768">
        <w:rPr>
          <w:sz w:val="22"/>
          <w:szCs w:val="22"/>
          <w:lang w:val="hy-AM"/>
        </w:rPr>
        <w:t>7</w:t>
      </w:r>
      <w:r w:rsidRPr="0072477E">
        <w:rPr>
          <w:sz w:val="22"/>
          <w:szCs w:val="22"/>
          <w:lang w:val="hy-AM"/>
        </w:rPr>
        <w:t xml:space="preserve"> մլն դրամ: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Ծրագրի նպատակն է՝ ՀՀ պետական բյուջեի միջոցների շրջանակներում առնվազն 300 դպրոցի և 500 մանկապարտեզի կառուցման, վերակառուցման և հիմնանորոգման ծրագրերի իրականացում: Ծրագրի շրջանակներում զգալի միջոցներ են նախատեսվել կրթահամալիրների կառուցման, հանրակրթական դպրոցների և մանկապարտեզների շենքերի կառուցման, վերակառուցման և հիմնանորոգման, ինչպես նաև նշված հաստատությունների՝ գույքով և տեխնիկայով ապահովման գծով: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Վերոնշված աշխատանքների իրականացման վերաբերյալ դրույթներն ամրագրված են ՀՀ կառավարության ծրագրի «4.3 Կրթություն» բաժնում: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Կրթության որակի ապահովում ծրագրի գծով 202</w:t>
      </w:r>
      <w:r w:rsidR="00CC405A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 1</w:t>
      </w:r>
      <w:r w:rsidR="00CC405A" w:rsidRPr="0072477E">
        <w:rPr>
          <w:b/>
          <w:sz w:val="22"/>
          <w:szCs w:val="22"/>
          <w:lang w:val="hy-AM"/>
        </w:rPr>
        <w:t>9</w:t>
      </w:r>
      <w:r w:rsidRPr="0072477E">
        <w:rPr>
          <w:b/>
          <w:sz w:val="22"/>
          <w:szCs w:val="22"/>
          <w:lang w:val="hy-AM"/>
        </w:rPr>
        <w:t>,</w:t>
      </w:r>
      <w:r w:rsidR="00CC405A" w:rsidRPr="0072477E">
        <w:rPr>
          <w:b/>
          <w:sz w:val="22"/>
          <w:szCs w:val="22"/>
          <w:lang w:val="hy-AM"/>
        </w:rPr>
        <w:t>5</w:t>
      </w:r>
      <w:r w:rsidR="00916BCA" w:rsidRPr="00833B84">
        <w:rPr>
          <w:b/>
          <w:sz w:val="22"/>
          <w:szCs w:val="22"/>
          <w:lang w:val="hy-AM"/>
        </w:rPr>
        <w:t>3</w:t>
      </w:r>
      <w:r w:rsidR="00580BF4">
        <w:rPr>
          <w:b/>
          <w:sz w:val="22"/>
          <w:szCs w:val="22"/>
          <w:lang w:val="hy-AM"/>
        </w:rPr>
        <w:t>2</w:t>
      </w:r>
      <w:r w:rsidRPr="0072477E">
        <w:rPr>
          <w:b/>
          <w:sz w:val="22"/>
          <w:szCs w:val="22"/>
          <w:lang w:val="hy-AM"/>
        </w:rPr>
        <w:t>.</w:t>
      </w:r>
      <w:r w:rsidR="00D10768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մլն դրամ: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Ծրագրի նպատակն է՝ ընթացիկ աշխատանքների, բարեփոխումների միջոցով կրթության ոլորտում իրականացվող միջոցառումների, մատուցվող ծառայությունների բովանդակության և կազմակերպման որակի շարունակական բարելավում: Ծրագրի շրջանակներում միջոցներ են նախատեսվել հանրակրթության պետական կրթական չափորոշչի ու առարկայական ծրագրերին համապատասխան ուսուցիչների վերապատրաստման, կամավոր ատեստավորման արդյունքում </w:t>
      </w:r>
      <w:r w:rsidR="00CC405A" w:rsidRPr="0072477E">
        <w:rPr>
          <w:sz w:val="22"/>
          <w:szCs w:val="22"/>
          <w:lang w:val="hy-AM"/>
        </w:rPr>
        <w:t xml:space="preserve">12.1 հազար </w:t>
      </w:r>
      <w:r w:rsidRPr="0072477E">
        <w:rPr>
          <w:sz w:val="22"/>
          <w:szCs w:val="22"/>
          <w:lang w:val="hy-AM"/>
        </w:rPr>
        <w:t xml:space="preserve">ուսուցիչներին հավելավճարների տրամադրման, հանրակրթական հիմնական ծրագրեր իրականացնող ուսումնական հաստատությունների ատեստավորման ենթակա </w:t>
      </w:r>
      <w:r w:rsidR="00CC405A" w:rsidRPr="0072477E">
        <w:rPr>
          <w:sz w:val="22"/>
          <w:szCs w:val="22"/>
          <w:lang w:val="hy-AM"/>
        </w:rPr>
        <w:t xml:space="preserve">9.0 հազար </w:t>
      </w:r>
      <w:r w:rsidRPr="0072477E">
        <w:rPr>
          <w:sz w:val="22"/>
          <w:szCs w:val="22"/>
          <w:lang w:val="hy-AM"/>
        </w:rPr>
        <w:t xml:space="preserve">ուսուցիչների վերապատրաստման գծով: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Ուսուցիչների մասնագիտական շարունակական զարգացման և վարձատրության փոխկապակցված մեխանիզմի ներդրման վերաբերյալ դրույթն ամրագրված է ՀՀ կառավարության ծրագրի «4.3 Կրթություն» բաժնում: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Ծրագրի շրջանակներում զգալի միջոցներ են նախատեսվել մարզերի պետական հանրակրթական դպրոցները ԳՏՃՄ լաբորատորիաներով ապահովման, նշված առարկաները դասավանդող ուսուցիչների վերապատրաստման գծով</w:t>
      </w:r>
      <w:r w:rsidR="00CC405A" w:rsidRPr="0072477E">
        <w:rPr>
          <w:sz w:val="22"/>
          <w:szCs w:val="22"/>
          <w:lang w:val="hy-AM"/>
        </w:rPr>
        <w:t xml:space="preserve">: 2026 թվականին կշարունակվեն աշխատանքները </w:t>
      </w:r>
      <w:r w:rsidRPr="0072477E">
        <w:rPr>
          <w:sz w:val="22"/>
          <w:szCs w:val="22"/>
          <w:lang w:val="hy-AM"/>
        </w:rPr>
        <w:t>Համաշխարհային բանկի աջակցությամբ իրականացվող «Կրթության բարելավում» ծրագրի լրացուցիչ ֆինանսավորման վարկային ծրագրի շրջանակներում</w:t>
      </w:r>
      <w:r w:rsidR="00CC405A" w:rsidRPr="0072477E">
        <w:rPr>
          <w:sz w:val="22"/>
          <w:szCs w:val="22"/>
          <w:lang w:val="hy-AM"/>
        </w:rPr>
        <w:t>:</w:t>
      </w:r>
      <w:r w:rsidRPr="0072477E">
        <w:rPr>
          <w:sz w:val="22"/>
          <w:szCs w:val="22"/>
          <w:lang w:val="hy-AM"/>
        </w:rPr>
        <w:t xml:space="preserve">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Համընդհանուր ներառական կրթության համակարգի ներդրում ծրագրի գծով 202</w:t>
      </w:r>
      <w:r w:rsidR="00CC405A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 </w:t>
      </w:r>
      <w:r w:rsidR="00CC405A" w:rsidRPr="0072477E">
        <w:rPr>
          <w:b/>
          <w:sz w:val="22"/>
          <w:szCs w:val="22"/>
          <w:lang w:val="hy-AM"/>
        </w:rPr>
        <w:t>4</w:t>
      </w:r>
      <w:r w:rsidRPr="0072477E">
        <w:rPr>
          <w:b/>
          <w:sz w:val="22"/>
          <w:szCs w:val="22"/>
          <w:lang w:val="hy-AM"/>
        </w:rPr>
        <w:t>,</w:t>
      </w:r>
      <w:r w:rsidR="00CC405A" w:rsidRPr="0072477E">
        <w:rPr>
          <w:b/>
          <w:sz w:val="22"/>
          <w:szCs w:val="22"/>
          <w:lang w:val="hy-AM"/>
        </w:rPr>
        <w:t>045</w:t>
      </w:r>
      <w:r w:rsidRPr="0072477E">
        <w:rPr>
          <w:b/>
          <w:sz w:val="22"/>
          <w:szCs w:val="22"/>
          <w:lang w:val="hy-AM"/>
        </w:rPr>
        <w:t>.</w:t>
      </w:r>
      <w:r w:rsidR="00CC405A" w:rsidRPr="0072477E">
        <w:rPr>
          <w:b/>
          <w:sz w:val="22"/>
          <w:szCs w:val="22"/>
          <w:lang w:val="hy-AM"/>
        </w:rPr>
        <w:t>3</w:t>
      </w:r>
      <w:r w:rsidRPr="0072477E">
        <w:rPr>
          <w:b/>
          <w:sz w:val="22"/>
          <w:szCs w:val="22"/>
          <w:lang w:val="hy-AM"/>
        </w:rPr>
        <w:t xml:space="preserve"> մլն դրամ: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Ծրագրի նպատակն է՝ յուրաքանչյուր երեխայի համար կրթության մատչելիության, հավասար մասնակցության հնարավորության և որակի ապահովում՝ զարգացման առանձնահատկություններին համապատասխան և անհրաժեշտ պայմանների ստեղծման միջոցով: Ծրագրի շրջանակներում միջոցներ են նախատեսվել տարածքային մանկավարժահոգեբանական աջակցության կենտրոնների գործունեության, ինչպես նաև նշված կենտրոնների՝ մանկավարժահոգեբանական աջակցության ծառայություններ մատուցող մասնագետների ատեստավորման համակարգի ներդրման գծով: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Մշակութային և գեղագիտական դաստիարակության ծրագրի գծով 202</w:t>
      </w:r>
      <w:r w:rsidR="00CC405A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 </w:t>
      </w:r>
      <w:r w:rsidR="00CC405A" w:rsidRPr="0072477E">
        <w:rPr>
          <w:b/>
          <w:sz w:val="22"/>
          <w:szCs w:val="22"/>
          <w:lang w:val="hy-AM"/>
        </w:rPr>
        <w:t>677</w:t>
      </w:r>
      <w:r w:rsidRPr="0072477E">
        <w:rPr>
          <w:b/>
          <w:sz w:val="22"/>
          <w:szCs w:val="22"/>
          <w:lang w:val="hy-AM"/>
        </w:rPr>
        <w:t>.</w:t>
      </w:r>
      <w:r w:rsidR="00CC405A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մլն դրամ: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Ծրագրի նպատակն է՝ երեխաների հոգևոր և գեղագիտական ընդունակությունների բացահայտումը և զարգացումը: Ծրագրի շրջանակներում միջոցներ են նախատեսվել երաժշտական, արվեստի, գեղարվեստի և պարարվեստի դպրոցներում</w:t>
      </w:r>
      <w:r w:rsidR="00CC405A" w:rsidRPr="0072477E">
        <w:rPr>
          <w:sz w:val="22"/>
          <w:szCs w:val="22"/>
          <w:lang w:val="hy-AM"/>
        </w:rPr>
        <w:t xml:space="preserve"> 30</w:t>
      </w:r>
      <w:r w:rsidRPr="0072477E">
        <w:rPr>
          <w:sz w:val="22"/>
          <w:szCs w:val="22"/>
          <w:lang w:val="hy-AM"/>
        </w:rPr>
        <w:t xml:space="preserve">00 աշակերտների և 900 ուսուցիչների համար ուսումնամեթոդական աշխատանքների կազմակերպման, ազգային, փողային և լարային  նվագարանների գծով 1181 սովորողների ուսման վարձավճարի փոխհատուցման, շնորհալի պատանի 15 երաժիշտ կատարողների մասնագիտական կարողությունների զարգացման և կատարելագործման նպատակով: Ծախսեր են նախատեսվել նաև «Ստեղծագործական կրթամշակութային մանկապատանեկան ծրագրեր և նախագծեր» և «Դպրոցական բաժանորդային համակարգի ծրագրի իրականացում» միջոցառումների գծով: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Կրթության, մշակույթի և սպորտի ոլորտներում միջազգային և սփյուռքի հետ համագործակցության զարգացում ծրագրի գծով 202</w:t>
      </w:r>
      <w:r w:rsidR="00CC405A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 </w:t>
      </w:r>
      <w:r w:rsidR="00D10768">
        <w:rPr>
          <w:b/>
          <w:sz w:val="22"/>
          <w:szCs w:val="22"/>
          <w:lang w:val="hy-AM"/>
        </w:rPr>
        <w:t>513</w:t>
      </w:r>
      <w:r w:rsidRPr="0072477E">
        <w:rPr>
          <w:b/>
          <w:sz w:val="22"/>
          <w:szCs w:val="22"/>
          <w:lang w:val="hy-AM"/>
        </w:rPr>
        <w:t>.</w:t>
      </w:r>
      <w:r w:rsidR="00CC405A" w:rsidRPr="0072477E">
        <w:rPr>
          <w:b/>
          <w:sz w:val="22"/>
          <w:szCs w:val="22"/>
          <w:lang w:val="hy-AM"/>
        </w:rPr>
        <w:t>7</w:t>
      </w:r>
      <w:r w:rsidRPr="0072477E">
        <w:rPr>
          <w:b/>
          <w:sz w:val="22"/>
          <w:szCs w:val="22"/>
          <w:lang w:val="hy-AM"/>
        </w:rPr>
        <w:t xml:space="preserve"> մլն դրամ: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Ծրագրի նպատակն է՝ կրթության, մշակույթի և սպորտի ոլորտներում միջազգային համագործակցության ընդլայնումը, սփյուռքում և օտարերկրյա պետություններում հայկական կրթական կարողությունների հզորացումը: Ծրագրով նախատեսվող միջոցները կուղղվեն Սփյուռքի կրթօջախների ուսուցիչների կարողությունների հզորացմանը, դասագրքերի և այլ ուսումնական նյութերի մշակմանն ու տրամադրմանը, օտարերկրյա պետություններում հայերենի և հայագիտական առարկաների դասավանդմանը</w:t>
      </w:r>
      <w:r w:rsidR="00D10768">
        <w:rPr>
          <w:sz w:val="22"/>
          <w:szCs w:val="22"/>
          <w:lang w:val="hy-AM"/>
        </w:rPr>
        <w:t>, «</w:t>
      </w:r>
      <w:r w:rsidR="00D10768" w:rsidRPr="00D10768">
        <w:rPr>
          <w:sz w:val="22"/>
          <w:szCs w:val="22"/>
          <w:lang w:val="hy-AM"/>
        </w:rPr>
        <w:t>Մեղրին՝ 2026թ. ԱՊՀ մշակութային մայրաքաղաք» նոր միջոցառման</w:t>
      </w:r>
      <w:r w:rsidR="00D10768">
        <w:rPr>
          <w:sz w:val="22"/>
          <w:szCs w:val="22"/>
          <w:lang w:val="hy-AM"/>
        </w:rPr>
        <w:t xml:space="preserve"> իրականացմանը</w:t>
      </w:r>
      <w:r w:rsidRPr="00D10768">
        <w:rPr>
          <w:sz w:val="22"/>
          <w:szCs w:val="22"/>
          <w:lang w:val="hy-AM"/>
        </w:rPr>
        <w:t>:</w:t>
      </w:r>
      <w:r w:rsidRPr="0072477E">
        <w:rPr>
          <w:sz w:val="22"/>
          <w:szCs w:val="22"/>
          <w:lang w:val="hy-AM"/>
        </w:rPr>
        <w:t xml:space="preserve">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Սփյուռքի հետ համագործակցության վերաբերյալ դրույթներն ամրագրված են ՀՀ կառավարության ծրագրի «1.4 Սփյուռք», «4.7 Երիտասարդություն» բաժիններում, «4.9 Մշակույթ» բաժնի մշակութային ժառանգության վերաբերյալ ենթաբաժնում: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Կրթության ոլորտում տեղեկատվական և հաղորդակցական տեխնոլոգիաների ներդրում ծրագրի գծով 202</w:t>
      </w:r>
      <w:r w:rsidR="00CC405A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 </w:t>
      </w:r>
      <w:r w:rsidR="00D10768">
        <w:rPr>
          <w:b/>
          <w:sz w:val="22"/>
          <w:szCs w:val="22"/>
          <w:lang w:val="hy-AM"/>
        </w:rPr>
        <w:t>932</w:t>
      </w:r>
      <w:r w:rsidRPr="0072477E">
        <w:rPr>
          <w:b/>
          <w:sz w:val="22"/>
          <w:szCs w:val="22"/>
          <w:lang w:val="hy-AM"/>
        </w:rPr>
        <w:t>.</w:t>
      </w:r>
      <w:r w:rsidR="00D10768">
        <w:rPr>
          <w:b/>
          <w:sz w:val="22"/>
          <w:szCs w:val="22"/>
          <w:lang w:val="hy-AM"/>
        </w:rPr>
        <w:t>0</w:t>
      </w:r>
      <w:r w:rsidRPr="0072477E">
        <w:rPr>
          <w:b/>
          <w:sz w:val="22"/>
          <w:szCs w:val="22"/>
          <w:lang w:val="hy-AM"/>
        </w:rPr>
        <w:t xml:space="preserve"> մլն դրամ: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Ծրագրի նպատակն է՝ կրթության ոլորտում տեղեկատվական և հաղորդակցական տեխնոլոգիաների կիրառման ընդլայնումը: Ծրագրի շրջանակներում միջոցներ են նախատեսվել ՀՀ հանրակրթական ուսումնական հաստատություններում տվյալների փոխանակման կապի ապահովման և սպասարկման, հեռավար դասընթացների կազմակերպման, կրթության ոլորտում ՏՀՏ բնագավառի ծրագրերի համակարգման</w:t>
      </w:r>
      <w:r w:rsidR="00D10768">
        <w:rPr>
          <w:sz w:val="22"/>
          <w:szCs w:val="22"/>
          <w:lang w:val="hy-AM"/>
        </w:rPr>
        <w:t>, հ</w:t>
      </w:r>
      <w:r w:rsidR="00D10768" w:rsidRPr="00D10768">
        <w:rPr>
          <w:sz w:val="22"/>
          <w:szCs w:val="22"/>
          <w:lang w:val="hy-AM"/>
        </w:rPr>
        <w:t>այերենի ստուգման և գնահատման համակարգի</w:t>
      </w:r>
      <w:r w:rsidR="00D10768">
        <w:rPr>
          <w:sz w:val="22"/>
          <w:szCs w:val="22"/>
          <w:lang w:val="hy-AM"/>
        </w:rPr>
        <w:t xml:space="preserve"> գործարկման </w:t>
      </w:r>
      <w:r w:rsidRPr="0072477E">
        <w:rPr>
          <w:sz w:val="22"/>
          <w:szCs w:val="22"/>
          <w:lang w:val="hy-AM"/>
        </w:rPr>
        <w:t>գծով</w:t>
      </w:r>
      <w:r w:rsidR="00D10768">
        <w:rPr>
          <w:sz w:val="22"/>
          <w:szCs w:val="22"/>
          <w:lang w:val="hy-AM"/>
        </w:rPr>
        <w:t xml:space="preserve"> աշխատանքների իրականացման նպատակով</w:t>
      </w:r>
      <w:r w:rsidRPr="0072477E">
        <w:rPr>
          <w:sz w:val="22"/>
          <w:szCs w:val="22"/>
          <w:lang w:val="hy-AM"/>
        </w:rPr>
        <w:t>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«Նախադպրոցական կրթություն» ծրագրի գծով 202</w:t>
      </w:r>
      <w:r w:rsidR="00CC405A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</w:t>
      </w:r>
      <w:r w:rsidR="00CC405A" w:rsidRPr="0072477E">
        <w:rPr>
          <w:b/>
          <w:sz w:val="22"/>
          <w:szCs w:val="22"/>
          <w:lang w:val="hy-AM"/>
        </w:rPr>
        <w:t xml:space="preserve"> 1</w:t>
      </w:r>
      <w:r w:rsidRPr="0072477E">
        <w:rPr>
          <w:b/>
          <w:sz w:val="22"/>
          <w:szCs w:val="22"/>
          <w:lang w:val="hy-AM"/>
        </w:rPr>
        <w:t>,</w:t>
      </w:r>
      <w:r w:rsidR="00CC405A" w:rsidRPr="0072477E">
        <w:rPr>
          <w:b/>
          <w:sz w:val="22"/>
          <w:szCs w:val="22"/>
          <w:lang w:val="hy-AM"/>
        </w:rPr>
        <w:t>883</w:t>
      </w:r>
      <w:r w:rsidRPr="0072477E">
        <w:rPr>
          <w:b/>
          <w:sz w:val="22"/>
          <w:szCs w:val="22"/>
          <w:lang w:val="hy-AM"/>
        </w:rPr>
        <w:t>.</w:t>
      </w:r>
      <w:r w:rsidR="00CC405A" w:rsidRPr="0072477E">
        <w:rPr>
          <w:b/>
          <w:sz w:val="22"/>
          <w:szCs w:val="22"/>
          <w:lang w:val="hy-AM"/>
        </w:rPr>
        <w:t>7</w:t>
      </w:r>
      <w:r w:rsidRPr="0072477E">
        <w:rPr>
          <w:b/>
          <w:sz w:val="22"/>
          <w:szCs w:val="22"/>
          <w:lang w:val="hy-AM"/>
        </w:rPr>
        <w:t xml:space="preserve"> մլն դրամ: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Ծրագրի նպատակն է՝ ապահովել հասանելի և որակյալ նախադպրոցական կրթություն: Ծրագրի շրջանակներում միջոցներ են նախատեսվել նախակրթարաններում ընդգրկվող</w:t>
      </w:r>
      <w:r w:rsidR="00CC405A" w:rsidRPr="0072477E">
        <w:rPr>
          <w:sz w:val="22"/>
          <w:szCs w:val="22"/>
          <w:lang w:val="hy-AM"/>
        </w:rPr>
        <w:t xml:space="preserve"> 7.1</w:t>
      </w:r>
      <w:r w:rsidRPr="0072477E">
        <w:rPr>
          <w:sz w:val="22"/>
          <w:szCs w:val="22"/>
          <w:lang w:val="hy-AM"/>
        </w:rPr>
        <w:t xml:space="preserve"> հազար երեխաների, մինչև 5 տարեկան կրթության և զարգացման առանձնահատուկ պայմանների կարիք ունեցող</w:t>
      </w:r>
      <w:r w:rsidR="00CC405A" w:rsidRPr="0072477E">
        <w:rPr>
          <w:sz w:val="22"/>
          <w:szCs w:val="22"/>
          <w:lang w:val="hy-AM"/>
        </w:rPr>
        <w:t xml:space="preserve"> 1428</w:t>
      </w:r>
      <w:r w:rsidR="00B90891">
        <w:rPr>
          <w:sz w:val="22"/>
          <w:szCs w:val="22"/>
          <w:lang w:val="hy-AM"/>
        </w:rPr>
        <w:t>,</w:t>
      </w:r>
      <w:r w:rsidR="00CC405A" w:rsidRPr="0072477E">
        <w:rPr>
          <w:sz w:val="22"/>
          <w:szCs w:val="22"/>
          <w:lang w:val="hy-AM"/>
        </w:rPr>
        <w:t xml:space="preserve"> 0-2 տարեկան 180</w:t>
      </w:r>
      <w:r w:rsidR="00DB69C3" w:rsidRPr="0072477E">
        <w:rPr>
          <w:sz w:val="22"/>
          <w:szCs w:val="22"/>
          <w:lang w:val="hy-AM"/>
        </w:rPr>
        <w:t>,</w:t>
      </w:r>
      <w:r w:rsidR="00CC405A" w:rsidRPr="0072477E">
        <w:rPr>
          <w:sz w:val="22"/>
          <w:szCs w:val="22"/>
          <w:lang w:val="hy-AM"/>
        </w:rPr>
        <w:t xml:space="preserve"> 2026 թվականի սեպտեմբերի 1-ից՝ սոցիալապես անապահով ընտանիքների 2465 երեխաների</w:t>
      </w:r>
      <w:r w:rsidRPr="0072477E">
        <w:rPr>
          <w:sz w:val="22"/>
          <w:szCs w:val="22"/>
          <w:lang w:val="hy-AM"/>
        </w:rPr>
        <w:t xml:space="preserve"> նախադպրոցական կրթության ապահովման, նախադպրոցական ծրագրեր իրականացնող ուսումնական հաստատությունների մանկավարժների վերապատրաստման, վերջիններիս տարակարգի շնորհման արդյունքում հավելավճարի տրամադրման գծով: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Նախադպրոցական կրթության վերաբերյալ դրույթներն ամրագրված են ՀՀ կառավարության ծրագրի «4.3 Կրթություն» բաժնում: </w:t>
      </w:r>
    </w:p>
    <w:p w:rsidR="001C5FD0" w:rsidRPr="0072477E" w:rsidRDefault="001C5FD0" w:rsidP="00B32086">
      <w:pPr>
        <w:pStyle w:val="TOC4"/>
        <w:spacing w:before="120" w:after="120" w:line="23" w:lineRule="atLeast"/>
        <w:ind w:right="-360"/>
        <w:jc w:val="both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ԳԻՏՈՒԹՅՈՒՆ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Գիտական և գիտատեխնիկական հետազոտությունների ծրագրի նպատակն է՝ գիտական և գիտատեխնիկական գործունեության հիմնարար, կիրառական և թեմատիկ հետազոտությունների իրականացում, ենթակառուցվածքի և ազգային արժեք ներկայացնող գիտական  օբյեկտների պահպանում և զարգացում, գիտական ներուժի վերարտադրության ապահովում: Ծրագրի գծով 202</w:t>
      </w:r>
      <w:r w:rsidR="00667D3D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 </w:t>
      </w:r>
      <w:r w:rsidR="00667D3D" w:rsidRPr="0072477E">
        <w:rPr>
          <w:b/>
          <w:sz w:val="22"/>
          <w:szCs w:val="22"/>
          <w:lang w:val="hy-AM"/>
        </w:rPr>
        <w:t>2</w:t>
      </w:r>
      <w:r w:rsidR="00B12A82">
        <w:rPr>
          <w:b/>
          <w:sz w:val="22"/>
          <w:szCs w:val="22"/>
          <w:lang w:val="hy-AM"/>
        </w:rPr>
        <w:t>9</w:t>
      </w:r>
      <w:r w:rsidR="00667D3D" w:rsidRPr="0072477E">
        <w:rPr>
          <w:b/>
          <w:sz w:val="22"/>
          <w:szCs w:val="22"/>
          <w:lang w:val="hy-AM"/>
        </w:rPr>
        <w:t>,2</w:t>
      </w:r>
      <w:r w:rsidR="00B12A82">
        <w:rPr>
          <w:b/>
          <w:sz w:val="22"/>
          <w:szCs w:val="22"/>
          <w:lang w:val="hy-AM"/>
        </w:rPr>
        <w:t>24</w:t>
      </w:r>
      <w:r w:rsidR="00667D3D" w:rsidRPr="0072477E">
        <w:rPr>
          <w:b/>
          <w:sz w:val="22"/>
          <w:szCs w:val="22"/>
          <w:lang w:val="hy-AM"/>
        </w:rPr>
        <w:t>.</w:t>
      </w:r>
      <w:r w:rsidR="00B12A82">
        <w:rPr>
          <w:b/>
          <w:sz w:val="22"/>
          <w:szCs w:val="22"/>
          <w:lang w:val="hy-AM"/>
        </w:rPr>
        <w:t>3</w:t>
      </w:r>
      <w:r w:rsidRPr="0072477E">
        <w:rPr>
          <w:b/>
          <w:sz w:val="22"/>
          <w:szCs w:val="22"/>
          <w:lang w:val="hy-AM"/>
        </w:rPr>
        <w:t xml:space="preserve"> մլն դրամ:</w:t>
      </w:r>
    </w:p>
    <w:p w:rsidR="001C5FD0" w:rsidRPr="0072477E" w:rsidRDefault="00131103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 xml:space="preserve">   </w:t>
      </w:r>
      <w:r w:rsidR="001C5FD0" w:rsidRPr="0072477E">
        <w:rPr>
          <w:sz w:val="22"/>
          <w:szCs w:val="22"/>
          <w:lang w:val="hy-AM"/>
        </w:rPr>
        <w:t xml:space="preserve">«Գիտական ենթակառուցվածքի արդիականացում» միջոցառման գծով ծախսերը նախատեսվել են գիտական կազմակերպությունների և բուհերի գիտական ստորաբաժանումների զարգացման, ծրագրերի իրականացման, գիտական սարքավորումների արդիականացման, միջազգային համագործակցության աջակցության նպատակով: </w:t>
      </w:r>
      <w:bookmarkStart w:id="4" w:name="_Hlk77769403"/>
      <w:r w:rsidR="001C5FD0" w:rsidRPr="0072477E">
        <w:rPr>
          <w:sz w:val="22"/>
          <w:szCs w:val="22"/>
          <w:lang w:val="hy-AM"/>
        </w:rPr>
        <w:t xml:space="preserve">Միջոցառմանը հատկացվող միջոցներում </w:t>
      </w:r>
      <w:r w:rsidR="00667D3D" w:rsidRPr="0072477E">
        <w:rPr>
          <w:sz w:val="22"/>
          <w:szCs w:val="22"/>
          <w:lang w:val="hy-AM"/>
        </w:rPr>
        <w:t>ավելացվել</w:t>
      </w:r>
      <w:r w:rsidR="001C5FD0" w:rsidRPr="0072477E">
        <w:rPr>
          <w:sz w:val="22"/>
          <w:szCs w:val="22"/>
          <w:lang w:val="hy-AM"/>
        </w:rPr>
        <w:t xml:space="preserve"> է </w:t>
      </w:r>
      <w:bookmarkEnd w:id="4"/>
      <w:r w:rsidR="001C5FD0" w:rsidRPr="0072477E">
        <w:rPr>
          <w:sz w:val="22"/>
          <w:szCs w:val="22"/>
          <w:lang w:val="hy-AM"/>
        </w:rPr>
        <w:t>միջազգային գիտական ծրագրերի, կառույցների անդամակցությունը և գիտատեղեկատվական շտեմարանի ռեսուրսների օգտագործումը («Հորիզոն Եվրոպա» շրջանակային (9-րդ) ծրագրին մասնակցություն, Միջուկային հետազոտությունների միացյալ ինստիտուտ, Բարձր էներգիաների ստերեոսկոպիկ համակարգ, Տեսական ֆիզիկայի միջազգային կենտրոն, Քլարիվեյթ Անալիտիքս):</w:t>
      </w:r>
    </w:p>
    <w:p w:rsidR="001C5FD0" w:rsidRPr="0072477E" w:rsidRDefault="00131103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 xml:space="preserve">    </w:t>
      </w:r>
      <w:r w:rsidR="001C5FD0" w:rsidRPr="0072477E">
        <w:rPr>
          <w:sz w:val="22"/>
          <w:szCs w:val="22"/>
          <w:lang w:val="hy-AM"/>
        </w:rPr>
        <w:t>«</w:t>
      </w:r>
      <w:r w:rsidR="00FF0454" w:rsidRPr="00FF0454">
        <w:rPr>
          <w:sz w:val="22"/>
          <w:szCs w:val="22"/>
          <w:lang w:val="hy-AM"/>
        </w:rPr>
        <w:t>Գիտական և գիտատեխնիկական գործունեության գիտական դրամաշնորհային հետազոտություններ</w:t>
      </w:r>
      <w:r w:rsidR="001C5FD0" w:rsidRPr="0072477E">
        <w:rPr>
          <w:sz w:val="22"/>
          <w:szCs w:val="22"/>
          <w:lang w:val="hy-AM"/>
        </w:rPr>
        <w:t>» միջոցառման շրջանակում իրականացվում են դրամաշնորհային մրցույթներ, որոնց համար, որպես արդյունքային ցուցանիշներ, սահմանվում են միջազգային չափանիշներին համապատասխան գիտական արդյունքները: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Ծրագրում նախատեսվել են ՀՀ </w:t>
      </w:r>
      <w:r w:rsidR="000F2023">
        <w:rPr>
          <w:sz w:val="22"/>
          <w:szCs w:val="22"/>
          <w:lang w:val="hy-AM"/>
        </w:rPr>
        <w:t>Գիտությունների ազգային ակադեմիայի</w:t>
      </w:r>
      <w:r w:rsidRPr="0072477E">
        <w:rPr>
          <w:sz w:val="22"/>
          <w:szCs w:val="22"/>
          <w:lang w:val="hy-AM"/>
        </w:rPr>
        <w:t xml:space="preserve"> իսկական և թղթակից</w:t>
      </w:r>
      <w:r w:rsidR="007306FE" w:rsidRPr="0072477E">
        <w:rPr>
          <w:sz w:val="22"/>
          <w:szCs w:val="22"/>
          <w:lang w:val="hy-AM"/>
        </w:rPr>
        <w:t xml:space="preserve"> 76</w:t>
      </w:r>
      <w:r w:rsidRPr="0072477E">
        <w:rPr>
          <w:sz w:val="22"/>
          <w:szCs w:val="22"/>
          <w:lang w:val="hy-AM"/>
        </w:rPr>
        <w:t xml:space="preserve"> անդամների պատվովճարների տրամադրումը, պետական գիտական ծրագրերում ընդգրկված՝ գիտական աստիճան ունեցող </w:t>
      </w:r>
      <w:r w:rsidR="003568E0">
        <w:rPr>
          <w:sz w:val="22"/>
          <w:szCs w:val="22"/>
          <w:lang w:val="hy-AM"/>
        </w:rPr>
        <w:t>անձանց</w:t>
      </w:r>
      <w:r w:rsidRPr="0072477E">
        <w:rPr>
          <w:sz w:val="22"/>
          <w:szCs w:val="22"/>
          <w:lang w:val="hy-AM"/>
        </w:rPr>
        <w:t xml:space="preserve"> հավելավճարների տրամադրումը, գիտական և գիտատեխնիկական նպատակային-ծրագրային հետազոտությունների համար միջոցները: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202</w:t>
      </w:r>
      <w:r w:rsidR="007306FE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կշարունակվեն գիտական կենտրոնները ժամանակակից սարքավորումներով վերազինման աշխատանքները: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«Ակադեմիական քաղաքի ստեղծում» ծրագիրը, որի գծով 202</w:t>
      </w:r>
      <w:r w:rsidR="007306FE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 </w:t>
      </w:r>
      <w:r w:rsidR="007306FE" w:rsidRPr="0072477E">
        <w:rPr>
          <w:b/>
          <w:sz w:val="22"/>
          <w:szCs w:val="22"/>
          <w:lang w:val="hy-AM"/>
        </w:rPr>
        <w:t>4</w:t>
      </w:r>
      <w:r w:rsidRPr="0072477E">
        <w:rPr>
          <w:b/>
          <w:sz w:val="22"/>
          <w:szCs w:val="22"/>
          <w:lang w:val="hy-AM"/>
        </w:rPr>
        <w:t>,</w:t>
      </w:r>
      <w:r w:rsidR="007306FE" w:rsidRPr="0072477E">
        <w:rPr>
          <w:b/>
          <w:sz w:val="22"/>
          <w:szCs w:val="22"/>
          <w:lang w:val="hy-AM"/>
        </w:rPr>
        <w:t>966.4</w:t>
      </w:r>
      <w:r w:rsidRPr="0072477E">
        <w:rPr>
          <w:b/>
          <w:sz w:val="22"/>
          <w:szCs w:val="22"/>
          <w:lang w:val="hy-AM"/>
        </w:rPr>
        <w:t xml:space="preserve"> մլն դրամ</w:t>
      </w:r>
      <w:r w:rsidRPr="0072477E">
        <w:rPr>
          <w:sz w:val="22"/>
          <w:szCs w:val="22"/>
          <w:lang w:val="hy-AM"/>
        </w:rPr>
        <w:t>, նպատակ ունի շարունակել «Ակադեմիական քաղաք» նախագծի իրականացումը, «Ակադեմիական քաղաք» հիմնադրամին պետական աջակցությունը և «Ակադեմիական քաղաք» ծրագրի իրականացման համար միջազգային խորհրդատվական ծառայությունների ձեռքբերումն ու պայմանագրերի սպասարկումը: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Գիտության ոլորտի զարգացման վերաբերյալ դրույթներն ամրագրված են ՀՀ կառավարության ծրագրի «4.4 Գիտություն» բաժնում: </w:t>
      </w:r>
    </w:p>
    <w:p w:rsidR="001C5FD0" w:rsidRPr="0072477E" w:rsidRDefault="001C5FD0" w:rsidP="00B32086">
      <w:pPr>
        <w:pStyle w:val="TOC4"/>
        <w:spacing w:before="120" w:after="120" w:line="23" w:lineRule="atLeast"/>
        <w:ind w:right="-360"/>
        <w:jc w:val="both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ՄՇԱԿՈՒՅԹ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 w:eastAsia="ru-RU"/>
        </w:rPr>
      </w:pPr>
      <w:r w:rsidRPr="0072477E">
        <w:rPr>
          <w:sz w:val="22"/>
          <w:szCs w:val="22"/>
          <w:lang w:val="hy-AM"/>
        </w:rPr>
        <w:t>ՀՀ կառավարության վարած մշակութային քաղաքականությանը համապա</w:t>
      </w:r>
      <w:r w:rsidRPr="0072477E">
        <w:rPr>
          <w:sz w:val="22"/>
          <w:szCs w:val="22"/>
          <w:lang w:val="hy-AM"/>
        </w:rPr>
        <w:softHyphen/>
        <w:t>տասխան մշակույթի ոլորտում իրականացվող ծրագրերը միտված են մշակութային ժառանգության պահպանությանը և տարածմանը, մշակութային և ստեղծարար ոլորտների խթանմանը և երկրի կայուն զարգացման գործընթացներում վերջիններիս դերի ընդլայնմանը, մշակույթի և ժամանակակից արվեստի հասանելիությանը և սոցիալական ներառականությանը, բարեկեցիկ հասարակության ձևավորմանը, հայկական մշակույթի միջազգային ինտեգրմանը և միջազգային շուկաներում մրցունակության ապահվմանը (հիմք՝ ՀՀ կառավարության ծրագրի «4.9 Մշակույթ» բաժին):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 xml:space="preserve">Մշակույթի ոլորտի համար նախատեսված հատկացումներն ուղղվելու են 5 ծրագրերի իրականացմանը: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Կինեմատոգրաֆիայի ծրագրի համար 202</w:t>
      </w:r>
      <w:r w:rsidR="006B6969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 </w:t>
      </w:r>
      <w:r w:rsidR="00164996">
        <w:rPr>
          <w:b/>
          <w:sz w:val="22"/>
          <w:szCs w:val="22"/>
          <w:lang w:val="hy-AM"/>
        </w:rPr>
        <w:t>1,376.6</w:t>
      </w:r>
      <w:r w:rsidRPr="0072477E">
        <w:rPr>
          <w:b/>
          <w:sz w:val="22"/>
          <w:szCs w:val="22"/>
          <w:lang w:val="hy-AM"/>
        </w:rPr>
        <w:t xml:space="preserve"> մլն դրամ: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Կինեմատոգրաֆիայի ծրագրի նպատակն է աջակցել կինոարվեստի և կինոարտադրության զարգացմանը, հայկական ավանդույթների շարունակականության ապահովմանը և կինոարվեստի հանրահռչակմանը: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Ծրագրի շրջանակներում հատկացումներն ուղղվելու են ֆիլմերի արտադրությանը, կինո-ֆոտո-ֆոնո հավաքածուի պահպանմանը, թվայնացմանը, կինոարվեստի նախագծերի,  միջազգային կինոնախագծերին մասնակցությանը (արտադրվող կինոնկարների թիվը նախատեսվում է </w:t>
      </w:r>
      <w:r w:rsidR="00CC69B3" w:rsidRPr="0072477E">
        <w:rPr>
          <w:sz w:val="22"/>
          <w:szCs w:val="22"/>
          <w:lang w:val="hy-AM"/>
        </w:rPr>
        <w:t>24</w:t>
      </w:r>
      <w:r w:rsidRPr="0072477E">
        <w:rPr>
          <w:sz w:val="22"/>
          <w:szCs w:val="22"/>
          <w:lang w:val="hy-AM"/>
        </w:rPr>
        <w:t xml:space="preserve">, միջազգային կինոփառատոներին, կինոշուկաներին, կինոծրագրերին մասնակցության թիվը՝ </w:t>
      </w:r>
      <w:r w:rsidR="0081789F" w:rsidRPr="0072477E">
        <w:rPr>
          <w:sz w:val="22"/>
          <w:szCs w:val="22"/>
          <w:lang w:val="hy-AM"/>
        </w:rPr>
        <w:t>16</w:t>
      </w:r>
      <w:r w:rsidRPr="0072477E">
        <w:rPr>
          <w:sz w:val="22"/>
          <w:szCs w:val="22"/>
          <w:lang w:val="hy-AM"/>
        </w:rPr>
        <w:t>), ինչպես նաև կինոարտադրության ներդրումների վերադարձի իրականացմանը</w:t>
      </w:r>
      <w:r w:rsidR="00164996">
        <w:rPr>
          <w:sz w:val="22"/>
          <w:szCs w:val="22"/>
          <w:lang w:val="hy-AM"/>
        </w:rPr>
        <w:t>,</w:t>
      </w:r>
      <w:r w:rsidR="00164996" w:rsidRPr="00164996">
        <w:rPr>
          <w:lang w:val="hy-AM"/>
        </w:rPr>
        <w:t xml:space="preserve"> </w:t>
      </w:r>
      <w:r w:rsidR="00164996" w:rsidRPr="00164996">
        <w:rPr>
          <w:sz w:val="22"/>
          <w:szCs w:val="22"/>
          <w:lang w:val="hy-AM"/>
        </w:rPr>
        <w:t>դրամագլխի ձևավորմ</w:t>
      </w:r>
      <w:r w:rsidR="00164996">
        <w:rPr>
          <w:sz w:val="22"/>
          <w:szCs w:val="22"/>
          <w:lang w:val="hy-AM"/>
        </w:rPr>
        <w:t>անը և կինոքաղաքի ստեղծմանը</w:t>
      </w:r>
      <w:r w:rsidRPr="0072477E">
        <w:rPr>
          <w:sz w:val="22"/>
          <w:szCs w:val="22"/>
          <w:lang w:val="hy-AM"/>
        </w:rPr>
        <w:t>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Մշակութային ժառանգության ծրագրի համար 202</w:t>
      </w:r>
      <w:r w:rsidR="006B6969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 </w:t>
      </w:r>
      <w:r w:rsidRPr="007E1583">
        <w:rPr>
          <w:b/>
          <w:color w:val="auto"/>
          <w:sz w:val="22"/>
          <w:szCs w:val="22"/>
          <w:lang w:val="hy-AM"/>
        </w:rPr>
        <w:t>5,</w:t>
      </w:r>
      <w:r w:rsidR="00164996">
        <w:rPr>
          <w:b/>
          <w:color w:val="auto"/>
          <w:sz w:val="22"/>
          <w:szCs w:val="22"/>
          <w:lang w:val="hy-AM"/>
        </w:rPr>
        <w:t>911</w:t>
      </w:r>
      <w:r w:rsidRPr="007E1583">
        <w:rPr>
          <w:b/>
          <w:color w:val="auto"/>
          <w:sz w:val="22"/>
          <w:szCs w:val="22"/>
          <w:lang w:val="hy-AM"/>
        </w:rPr>
        <w:t>.</w:t>
      </w:r>
      <w:r w:rsidR="00164996">
        <w:rPr>
          <w:b/>
          <w:color w:val="auto"/>
          <w:sz w:val="22"/>
          <w:szCs w:val="22"/>
          <w:lang w:val="hy-AM"/>
        </w:rPr>
        <w:t>5</w:t>
      </w:r>
      <w:r w:rsidRPr="007E1583">
        <w:rPr>
          <w:b/>
          <w:color w:val="auto"/>
          <w:sz w:val="22"/>
          <w:szCs w:val="22"/>
          <w:lang w:val="hy-AM"/>
        </w:rPr>
        <w:t xml:space="preserve"> մլն դրամ</w:t>
      </w:r>
      <w:r w:rsidRPr="0072477E">
        <w:rPr>
          <w:b/>
          <w:sz w:val="22"/>
          <w:szCs w:val="22"/>
          <w:lang w:val="hy-AM"/>
        </w:rPr>
        <w:t xml:space="preserve">: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Մշակութային ժառանգության ծրագրի նպատակն է ապահովել մշակութային ժառանգության պահպանումը, օգտագործումը, համալրումը և հանրահռչակումը: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Ծրագրի շրջանակներում հատկացումներն ուղղվելու են պատմամշակութային ժառանգության գիտահետազոտական աշխատանքների, մշակութային արժեքների փորձաքննության, թանգարանային ծառայությունների իրականացմանը, թանգարաններում էլեկտրոնային տոմսերի միասնական ավտոմատացված համակարգերի, մշակույթի զարգացման հիմնադրամի գործունեության ապահովմանը, </w:t>
      </w:r>
      <w:r w:rsidR="00164996">
        <w:rPr>
          <w:sz w:val="22"/>
          <w:szCs w:val="22"/>
          <w:lang w:val="hy-AM"/>
        </w:rPr>
        <w:t xml:space="preserve">Հայաստանում </w:t>
      </w:r>
      <w:r w:rsidR="00164996" w:rsidRPr="00164996">
        <w:rPr>
          <w:sz w:val="22"/>
          <w:szCs w:val="22"/>
          <w:lang w:val="hy-AM"/>
        </w:rPr>
        <w:t>Եվրոպայի Խորհրդի «Մշակութային ուղիներ» ծրագրի խորհրդատվական 15-րդ ֆորումի կազմակերպ</w:t>
      </w:r>
      <w:r w:rsidR="00164996">
        <w:rPr>
          <w:sz w:val="22"/>
          <w:szCs w:val="22"/>
          <w:lang w:val="hy-AM"/>
        </w:rPr>
        <w:t>մանը,</w:t>
      </w:r>
      <w:r w:rsidR="00164996" w:rsidRPr="00164996">
        <w:rPr>
          <w:sz w:val="22"/>
          <w:szCs w:val="22"/>
          <w:lang w:val="hy-AM"/>
        </w:rPr>
        <w:t xml:space="preserve"> </w:t>
      </w:r>
      <w:r w:rsidRPr="0072477E">
        <w:rPr>
          <w:sz w:val="22"/>
          <w:szCs w:val="22"/>
          <w:lang w:val="hy-AM"/>
        </w:rPr>
        <w:t>թանգարանների հիմնանորոգմանը, տեղեկատվական մոդուլային կենտրոնների ստեղծմանը, ՀՀ տարածքում և օտարերկրյա պետություններում գտնվող հայ ճարտարապետության, մշակույթին և պատմությանն առնչվող հուշարձանների ուսումնասիրմանը և պահպանմանը, պատմության և մշակույթի անշարժ հուշարձանների հանրահռչակմանը միջազգային հարթակներում, հուշարձանների ամրակայմանը, նորոգմանը, վերականգնմանը: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Գրահրատարակչության և գրադարանների ծրագրի համար 202</w:t>
      </w:r>
      <w:r w:rsidR="006B6969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 </w:t>
      </w:r>
      <w:r w:rsidRPr="007E1583">
        <w:rPr>
          <w:b/>
          <w:color w:val="auto"/>
          <w:sz w:val="22"/>
          <w:szCs w:val="22"/>
          <w:lang w:val="hy-AM"/>
        </w:rPr>
        <w:t>1,7</w:t>
      </w:r>
      <w:r w:rsidR="007E1583" w:rsidRPr="007E1583">
        <w:rPr>
          <w:b/>
          <w:color w:val="auto"/>
          <w:sz w:val="22"/>
          <w:szCs w:val="22"/>
          <w:lang w:val="hy-AM"/>
        </w:rPr>
        <w:t>78</w:t>
      </w:r>
      <w:r w:rsidRPr="007E1583">
        <w:rPr>
          <w:b/>
          <w:color w:val="auto"/>
          <w:sz w:val="22"/>
          <w:szCs w:val="22"/>
          <w:lang w:val="hy-AM"/>
        </w:rPr>
        <w:t>.</w:t>
      </w:r>
      <w:r w:rsidR="007E1583" w:rsidRPr="007E1583">
        <w:rPr>
          <w:b/>
          <w:color w:val="auto"/>
          <w:sz w:val="22"/>
          <w:szCs w:val="22"/>
          <w:lang w:val="hy-AM"/>
        </w:rPr>
        <w:t>6</w:t>
      </w:r>
      <w:r w:rsidRPr="007E1583">
        <w:rPr>
          <w:b/>
          <w:color w:val="auto"/>
          <w:sz w:val="22"/>
          <w:szCs w:val="22"/>
          <w:lang w:val="hy-AM"/>
        </w:rPr>
        <w:t xml:space="preserve"> մլն դրամ</w:t>
      </w:r>
      <w:r w:rsidRPr="0072477E">
        <w:rPr>
          <w:b/>
          <w:sz w:val="22"/>
          <w:szCs w:val="22"/>
          <w:lang w:val="hy-AM"/>
        </w:rPr>
        <w:t xml:space="preserve">: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Գրահրատարակչության և գրադարանների ծրագրի նպատակն է նպաստել գրականության հրատարակմանը, տարածմանը և հանրահռչակմանը: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Ծրագրի շրջանակներում հատկացումներն ուղղվելու են թարգմանական ծրագրերին և ստեղծագործողներին աջակցմանը, գրականության և ոչ պետական մամուլի հրատարակմանը, գրադարանային ծառայությունների իրականացմանը, գրականության հանրահռչակմանը, գրական ծրագրերին և գրքերի միջազգային ցուցահանդեսներին մասնակցությանը (թարգմանական ծրագրերի և աջակցություն ստացած ստեղծագործողների ու հետազոտողների թիվը նախատեսվում է 3</w:t>
      </w:r>
      <w:r w:rsidR="0081789F" w:rsidRPr="0072477E">
        <w:rPr>
          <w:sz w:val="22"/>
          <w:szCs w:val="22"/>
          <w:lang w:val="hy-AM"/>
        </w:rPr>
        <w:t>6</w:t>
      </w:r>
      <w:r w:rsidRPr="0072477E">
        <w:rPr>
          <w:sz w:val="22"/>
          <w:szCs w:val="22"/>
          <w:lang w:val="hy-AM"/>
        </w:rPr>
        <w:t>, պետական աջակցություն ստացող ազգային փոքրամասնությունների, գրական, մշակութային ոչ պետական լրատվամիջոցների քանակը՝ 2</w:t>
      </w:r>
      <w:r w:rsidR="0081789F" w:rsidRPr="0072477E">
        <w:rPr>
          <w:sz w:val="22"/>
          <w:szCs w:val="22"/>
          <w:lang w:val="hy-AM"/>
        </w:rPr>
        <w:t>5</w:t>
      </w:r>
      <w:r w:rsidRPr="0072477E">
        <w:rPr>
          <w:sz w:val="22"/>
          <w:szCs w:val="22"/>
          <w:lang w:val="hy-AM"/>
        </w:rPr>
        <w:t xml:space="preserve">, գրականության հանրահռչակմանը և գրական ծրագրերին ու գրքերի միջազգային ցուցահանդեսներին մասնակցության թիվը՝ </w:t>
      </w:r>
      <w:r w:rsidR="0081789F" w:rsidRPr="0072477E">
        <w:rPr>
          <w:sz w:val="22"/>
          <w:szCs w:val="22"/>
          <w:lang w:val="hy-AM"/>
        </w:rPr>
        <w:t>4</w:t>
      </w:r>
      <w:r w:rsidRPr="0072477E">
        <w:rPr>
          <w:sz w:val="22"/>
          <w:szCs w:val="22"/>
          <w:lang w:val="hy-AM"/>
        </w:rPr>
        <w:t>):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Արվեստների ծրագրի համար 202</w:t>
      </w:r>
      <w:r w:rsidR="006B6969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 1</w:t>
      </w:r>
      <w:r w:rsidR="001E5035">
        <w:rPr>
          <w:b/>
          <w:sz w:val="22"/>
          <w:szCs w:val="22"/>
          <w:lang w:val="hy-AM"/>
        </w:rPr>
        <w:t>1</w:t>
      </w:r>
      <w:r w:rsidRPr="0072477E">
        <w:rPr>
          <w:b/>
          <w:sz w:val="22"/>
          <w:szCs w:val="22"/>
          <w:lang w:val="hy-AM"/>
        </w:rPr>
        <w:t>,</w:t>
      </w:r>
      <w:r w:rsidR="001E5035">
        <w:rPr>
          <w:b/>
          <w:sz w:val="22"/>
          <w:szCs w:val="22"/>
          <w:lang w:val="hy-AM"/>
        </w:rPr>
        <w:t>3</w:t>
      </w:r>
      <w:r w:rsidR="006B6969" w:rsidRPr="0072477E">
        <w:rPr>
          <w:b/>
          <w:sz w:val="22"/>
          <w:szCs w:val="22"/>
          <w:lang w:val="hy-AM"/>
        </w:rPr>
        <w:t>09</w:t>
      </w:r>
      <w:r w:rsidRPr="0072477E">
        <w:rPr>
          <w:b/>
          <w:sz w:val="22"/>
          <w:szCs w:val="22"/>
          <w:lang w:val="hy-AM"/>
        </w:rPr>
        <w:t>.</w:t>
      </w:r>
      <w:r w:rsidR="006B6969" w:rsidRPr="0072477E">
        <w:rPr>
          <w:b/>
          <w:sz w:val="22"/>
          <w:szCs w:val="22"/>
          <w:lang w:val="hy-AM"/>
        </w:rPr>
        <w:t>1</w:t>
      </w:r>
      <w:r w:rsidRPr="0072477E">
        <w:rPr>
          <w:b/>
          <w:sz w:val="22"/>
          <w:szCs w:val="22"/>
          <w:lang w:val="hy-AM"/>
        </w:rPr>
        <w:t xml:space="preserve"> մլն դրամ: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Արվեստների ծրագրի նպատակն է նպաստել ազգային հենքի վրա ժամանակակից թատերարվեստի, երաժշտարվեստի, կերպարվեստի և պարարվեստի զարգացմանը և հանրահռչակմանը: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Ծրագրի շրջանակներում հատկացումներն ուղղվելու են oպերային և բալետային արվեստի, թատերական ներկայացումների, երաժշտարվեստի և պարարվեստի համերգների, մշակութային միջոցառումների իրականացմանը, թատերահամերգային կազմակերպությունների ֆինանսավորման նոր մոդելի շարունակական ներդրմանը,  մշակույթի ոլորտի միջազգային հեղինակավոր փառատոների մրցանակաբաշխություններին մասնակցած և մրցանակի արժանացած մշակույթի գործիչների դրամական խրախուսմանը, «Ժողովրդական» պատվավոր կոչման արժանացած անձանց պատվովճարի հատկացմանը,</w:t>
      </w:r>
      <w:r w:rsidR="001E5035">
        <w:rPr>
          <w:sz w:val="22"/>
          <w:szCs w:val="22"/>
          <w:lang w:val="hy-AM"/>
        </w:rPr>
        <w:t xml:space="preserve"> </w:t>
      </w:r>
      <w:r w:rsidR="001E5035" w:rsidRPr="001E5035">
        <w:rPr>
          <w:sz w:val="22"/>
          <w:szCs w:val="22"/>
          <w:lang w:val="hy-AM"/>
        </w:rPr>
        <w:t>Համաշխարհային աստղի Հայաստանյան հյուրախաղեր</w:t>
      </w:r>
      <w:r w:rsidR="001E5035">
        <w:rPr>
          <w:sz w:val="22"/>
          <w:szCs w:val="22"/>
          <w:lang w:val="hy-AM"/>
        </w:rPr>
        <w:t>ի կազմակերպմանը,</w:t>
      </w:r>
      <w:r w:rsidRPr="0072477E">
        <w:rPr>
          <w:sz w:val="22"/>
          <w:szCs w:val="22"/>
          <w:lang w:val="hy-AM"/>
        </w:rPr>
        <w:t xml:space="preserve"> թատերահամերգային կազմակերպությունների նյութատեխնիկական բազայի համալրմանը, թատրոնների շենքերի կապիտալ վերանորոգման համար ներդրումների իրականացմանը (արվեստի տարբեր ոլորտներում ստեղծագործական ծրագրերի քանակը նախատեսվում է </w:t>
      </w:r>
      <w:r w:rsidR="0081789F" w:rsidRPr="0072477E">
        <w:rPr>
          <w:sz w:val="22"/>
          <w:szCs w:val="22"/>
          <w:lang w:val="hy-AM"/>
        </w:rPr>
        <w:t>4</w:t>
      </w:r>
      <w:r w:rsidRPr="0072477E">
        <w:rPr>
          <w:sz w:val="22"/>
          <w:szCs w:val="22"/>
          <w:lang w:val="hy-AM"/>
        </w:rPr>
        <w:t xml:space="preserve">5, արվեստի միջազգային նախագծերին մասնակցող ստեղծագործողների քանակը՝ </w:t>
      </w:r>
      <w:r w:rsidR="00EB3E01" w:rsidRPr="0072477E">
        <w:rPr>
          <w:sz w:val="22"/>
          <w:szCs w:val="22"/>
          <w:lang w:val="hy-AM"/>
        </w:rPr>
        <w:t>51</w:t>
      </w:r>
      <w:r w:rsidRPr="0072477E">
        <w:rPr>
          <w:sz w:val="22"/>
          <w:szCs w:val="22"/>
          <w:lang w:val="hy-AM"/>
        </w:rPr>
        <w:t xml:space="preserve">, հանրապետությունում իրականացվող արվեստի միջազգային նախագծերի քանակը՝ </w:t>
      </w:r>
      <w:r w:rsidR="00EB3E01" w:rsidRPr="0072477E">
        <w:rPr>
          <w:sz w:val="22"/>
          <w:szCs w:val="22"/>
          <w:lang w:val="hy-AM"/>
        </w:rPr>
        <w:t>8</w:t>
      </w:r>
      <w:r w:rsidRPr="0072477E">
        <w:rPr>
          <w:sz w:val="22"/>
          <w:szCs w:val="22"/>
          <w:lang w:val="hy-AM"/>
        </w:rPr>
        <w:t>):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Մարզերի մշակութային զարգացման ծրագրի նպատակն է նպաստել մարզերում մշակութային կյանքի և մշակութաստեղծ գործունեության ակտիվացմանը: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Ծրագրի շրջանակներում </w:t>
      </w:r>
      <w:r w:rsidR="00D93C2C" w:rsidRPr="0072477E">
        <w:rPr>
          <w:b/>
          <w:sz w:val="22"/>
          <w:szCs w:val="22"/>
          <w:lang w:val="hy-AM"/>
        </w:rPr>
        <w:t>509</w:t>
      </w:r>
      <w:r w:rsidRPr="0072477E">
        <w:rPr>
          <w:b/>
          <w:sz w:val="22"/>
          <w:szCs w:val="22"/>
          <w:lang w:val="hy-AM"/>
        </w:rPr>
        <w:t>.</w:t>
      </w:r>
      <w:r w:rsidR="00580B4D">
        <w:rPr>
          <w:b/>
          <w:sz w:val="22"/>
          <w:szCs w:val="22"/>
          <w:lang w:val="hy-AM"/>
        </w:rPr>
        <w:t>8</w:t>
      </w:r>
      <w:r w:rsidRPr="0072477E">
        <w:rPr>
          <w:b/>
          <w:sz w:val="22"/>
          <w:szCs w:val="22"/>
          <w:lang w:val="hy-AM"/>
        </w:rPr>
        <w:t xml:space="preserve"> մլն դրամ հատկացումներն</w:t>
      </w:r>
      <w:r w:rsidRPr="0072477E">
        <w:rPr>
          <w:sz w:val="22"/>
          <w:szCs w:val="22"/>
          <w:lang w:val="hy-AM"/>
        </w:rPr>
        <w:t xml:space="preserve"> ուղղվելու են մարզերում մշակութային միջոցառումների իրականացմանը, համայնքային մշակույթի և ազատ ժամանցի կազմակերպմանը, ինչպես նաև համայնքային մշակութային-ժամանցային կենտրոն</w:t>
      </w:r>
      <w:r w:rsidR="00D93C2C" w:rsidRPr="0072477E">
        <w:rPr>
          <w:sz w:val="22"/>
          <w:szCs w:val="22"/>
          <w:lang w:val="hy-AM"/>
        </w:rPr>
        <w:t>ներ</w:t>
      </w:r>
      <w:r w:rsidRPr="0072477E">
        <w:rPr>
          <w:sz w:val="22"/>
          <w:szCs w:val="22"/>
          <w:lang w:val="hy-AM"/>
        </w:rPr>
        <w:t>ի ստեղծմանը:</w:t>
      </w:r>
    </w:p>
    <w:p w:rsidR="001C5FD0" w:rsidRPr="0072477E" w:rsidRDefault="001C5FD0" w:rsidP="00B32086">
      <w:pPr>
        <w:pStyle w:val="TOC4"/>
        <w:spacing w:before="120" w:after="120" w:line="23" w:lineRule="atLeast"/>
        <w:ind w:right="-360"/>
        <w:jc w:val="both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ՖԻԶԻԿԱԿԱՆ ԿՈՒԼՏՈՒՐԱ և ՍՊՈՐՏ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Սպորտի ոլորտում պետական քաղաքականությունն ուղղված է բնակչության շրջանում առողջ ապրելակերպի և ակտիվ հանգստի արմատավորմանը, ֆիզիկական կուլտուրայի և սպորտի միջոցով բնակչության առողջության ամրապնդմանը։ ՀՀ կառավարությունը խրախուսում է</w:t>
      </w:r>
      <w:r w:rsidR="00A82EA7" w:rsidRPr="0072477E">
        <w:rPr>
          <w:sz w:val="24"/>
          <w:szCs w:val="24"/>
          <w:lang w:val="hy-AM"/>
        </w:rPr>
        <w:t xml:space="preserve"> մ</w:t>
      </w:r>
      <w:r w:rsidR="00A82EA7" w:rsidRPr="0072477E">
        <w:rPr>
          <w:sz w:val="22"/>
          <w:szCs w:val="22"/>
          <w:lang w:val="hy-AM"/>
        </w:rPr>
        <w:t>իջազգային մրցասպարեզներում մարզական բարձր արդյունքները</w:t>
      </w:r>
      <w:r w:rsidRPr="0072477E">
        <w:rPr>
          <w:sz w:val="22"/>
          <w:szCs w:val="22"/>
          <w:lang w:val="hy-AM"/>
        </w:rPr>
        <w:t xml:space="preserve">, աջակցում է մարզական ֆեդերացիաների գործունեությանը (հիմք՝ ՀՀ կառավարության ծրագրի «4.8 Սպորտ» բաժին):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Սպորտի համար նախատեսված հատկացումներն ուղղվելու են 2 ծրագրերի իրականացմանը: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Մեծ նվաճումների սպորտ» ծրագրի համար 202</w:t>
      </w:r>
      <w:r w:rsidR="00D93C2C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</w:t>
      </w:r>
      <w:r w:rsidR="00A82EA7" w:rsidRPr="0072477E">
        <w:rPr>
          <w:b/>
          <w:sz w:val="22"/>
          <w:szCs w:val="22"/>
          <w:lang w:val="hy-AM"/>
        </w:rPr>
        <w:t xml:space="preserve"> </w:t>
      </w:r>
      <w:r w:rsidR="00813E2D" w:rsidRPr="00813E2D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>,</w:t>
      </w:r>
      <w:r w:rsidR="00813E2D" w:rsidRPr="00813E2D">
        <w:rPr>
          <w:b/>
          <w:sz w:val="22"/>
          <w:szCs w:val="22"/>
          <w:lang w:val="hy-AM"/>
        </w:rPr>
        <w:t>960</w:t>
      </w:r>
      <w:r w:rsidRPr="0072477E">
        <w:rPr>
          <w:b/>
          <w:sz w:val="22"/>
          <w:szCs w:val="22"/>
          <w:lang w:val="hy-AM"/>
        </w:rPr>
        <w:t>.</w:t>
      </w:r>
      <w:r w:rsidR="0032750C">
        <w:rPr>
          <w:b/>
          <w:sz w:val="22"/>
          <w:szCs w:val="22"/>
          <w:lang w:val="hy-AM"/>
        </w:rPr>
        <w:t>7</w:t>
      </w:r>
      <w:r w:rsidRPr="0072477E">
        <w:rPr>
          <w:b/>
          <w:sz w:val="22"/>
          <w:szCs w:val="22"/>
          <w:lang w:val="hy-AM"/>
        </w:rPr>
        <w:t xml:space="preserve"> մլն դրամ: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Մեծ նվաճումների սպորտ ծրագրի նպատակն է նպաստել Հայաստանում մեծ սպորտի շարունակական զարգացմանը և միջազգային հարթակներում ՀՀ դիրքի բարելավմանը: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Ծրագրի շրջանակներում հատկացումներն ուղղվելու են </w:t>
      </w:r>
      <w:r w:rsidR="00FA4BBA" w:rsidRPr="0072477E">
        <w:rPr>
          <w:sz w:val="22"/>
          <w:szCs w:val="22"/>
          <w:lang w:val="hy-AM"/>
        </w:rPr>
        <w:t xml:space="preserve">օլիմպիական խաղերին, </w:t>
      </w:r>
      <w:r w:rsidRPr="0072477E">
        <w:rPr>
          <w:sz w:val="22"/>
          <w:szCs w:val="22"/>
          <w:lang w:val="hy-AM"/>
        </w:rPr>
        <w:t>միջազգային տարբեր մակարդակի միջոցառումներին, ուսումնամարզական հավաքներին, hանրապետական առաջնություններին Հայաստանի հավաքական թիմերի մասնակցության ապահովմանը, աշխարհի, Եվրոպայի առաջնություններում հաղթողների և մրցանակակիրների պարգևատրման ծախսերի իրականացմանը, ՀՀ հավաքական թիմերի գլխավոր և ավագ մարզիչների վարձատրությանը և աշխարհի չեմպիոններին, օլիմպիական խաղերի և շախմատի համաշխարհային օլիմպիադայի մրցանակակիրներին պատվովճարի, օլիմպիական խաղերում, աշխարհի և Եվրոպայի առաջնություններում բարձր արդյունքների հասած ՀՀ հավաքական թիմերի մարզիկներին և նրանց մարզիչներին անվանական թոշակի հատկացմանը,</w:t>
      </w:r>
      <w:r w:rsidR="00FA4BBA" w:rsidRPr="0072477E">
        <w:rPr>
          <w:lang w:val="hy-AM"/>
        </w:rPr>
        <w:t xml:space="preserve"> </w:t>
      </w:r>
      <w:r w:rsidR="00FA4BBA" w:rsidRPr="0072477E">
        <w:rPr>
          <w:sz w:val="22"/>
          <w:szCs w:val="22"/>
          <w:lang w:val="hy-AM"/>
        </w:rPr>
        <w:t>ամառային օլիմպիական խաղերին նախապատրաստվելու նպատակով ֆինանսական աջակցության տրամադրմանը,</w:t>
      </w:r>
      <w:r w:rsidRPr="0072477E">
        <w:rPr>
          <w:sz w:val="22"/>
          <w:szCs w:val="22"/>
          <w:lang w:val="hy-AM"/>
        </w:rPr>
        <w:t xml:space="preserve"> շախմատիստների պատրաստմանը, հաշմանդամային սպորտին աջակցմանը, սպորտային բժշկության և հակադոպինգային հսկողության և շախմատի մրցույթների պատրաստման ծառայությունների իրականացմանը (ՀՀ առաջնությունների և միջազգային մարզական միջոցառումների մասնակիցների թիվը նախատեսվում է, համապատասխանաբար՝ 9600 և 2</w:t>
      </w:r>
      <w:r w:rsidR="00C63FE3" w:rsidRPr="0072477E">
        <w:rPr>
          <w:sz w:val="22"/>
          <w:szCs w:val="22"/>
          <w:lang w:val="hy-AM"/>
        </w:rPr>
        <w:t>7</w:t>
      </w:r>
      <w:r w:rsidRPr="0072477E">
        <w:rPr>
          <w:sz w:val="22"/>
          <w:szCs w:val="22"/>
          <w:lang w:val="hy-AM"/>
        </w:rPr>
        <w:t xml:space="preserve">50): 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202</w:t>
      </w:r>
      <w:r w:rsidR="00A82EA7" w:rsidRPr="0072477E">
        <w:rPr>
          <w:sz w:val="22"/>
          <w:szCs w:val="22"/>
          <w:lang w:val="hy-AM"/>
        </w:rPr>
        <w:t>6</w:t>
      </w:r>
      <w:r w:rsidRPr="0072477E">
        <w:rPr>
          <w:sz w:val="22"/>
          <w:szCs w:val="22"/>
          <w:lang w:val="hy-AM"/>
        </w:rPr>
        <w:t xml:space="preserve"> թվականին նախատեսված հատկացումները կուղղվեն նաև Հայաստանում խոշոր մրցաշարերի, աշխարհի և Եվրոպայի առաջնությունների կազմակերպմանը և անցկացմանը, ինչպես նաև Հայաստանում Ֆրանկոֆոնիայի մարզամշակութային խաղերի նախապատրաստման աշխատանքների իրականացմանը: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Մասսայական սպորտ» ծրագրի համար 202</w:t>
      </w:r>
      <w:r w:rsidR="002252C0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 </w:t>
      </w:r>
      <w:r w:rsidR="002252C0" w:rsidRPr="0072477E">
        <w:rPr>
          <w:b/>
          <w:sz w:val="22"/>
          <w:szCs w:val="22"/>
          <w:lang w:val="hy-AM"/>
        </w:rPr>
        <w:t>5</w:t>
      </w:r>
      <w:r w:rsidRPr="0072477E">
        <w:rPr>
          <w:b/>
          <w:sz w:val="22"/>
          <w:szCs w:val="22"/>
          <w:lang w:val="hy-AM"/>
        </w:rPr>
        <w:t>,</w:t>
      </w:r>
      <w:r w:rsidR="0032750C">
        <w:rPr>
          <w:b/>
          <w:sz w:val="22"/>
          <w:szCs w:val="22"/>
          <w:lang w:val="hy-AM"/>
        </w:rPr>
        <w:t>5</w:t>
      </w:r>
      <w:r w:rsidR="002252C0" w:rsidRPr="0072477E">
        <w:rPr>
          <w:b/>
          <w:sz w:val="22"/>
          <w:szCs w:val="22"/>
          <w:lang w:val="hy-AM"/>
        </w:rPr>
        <w:t>00</w:t>
      </w:r>
      <w:r w:rsidRPr="0072477E">
        <w:rPr>
          <w:b/>
          <w:sz w:val="22"/>
          <w:szCs w:val="22"/>
          <w:lang w:val="hy-AM"/>
        </w:rPr>
        <w:t>.</w:t>
      </w:r>
      <w:r w:rsidR="002252C0" w:rsidRPr="0072477E">
        <w:rPr>
          <w:b/>
          <w:sz w:val="22"/>
          <w:szCs w:val="22"/>
          <w:lang w:val="hy-AM"/>
        </w:rPr>
        <w:t>7</w:t>
      </w:r>
      <w:r w:rsidRPr="0072477E">
        <w:rPr>
          <w:b/>
          <w:sz w:val="22"/>
          <w:szCs w:val="22"/>
          <w:lang w:val="hy-AM"/>
        </w:rPr>
        <w:t xml:space="preserve"> մլն դրամ: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Մասսայական սպորտ ծրագրի նպատակն է ապահովել բնակչության շրջանում առողջ ապրելակերպի արմատավորումը, անհատի բազմակողմանի ու ներդաշնակ զարգացման գործում ֆիզիկական կուլտուրայի և սպորտի դերի բարձրացումը: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Ծրագրի շրջանակներում հատկացումներն ուղղվելու են Համաշխարհային ունիվերսիադային Հայաստանի ուսանողական մարզական պատվիրակության մասնակցության ապահովմանը, մասսայական սպորտի միջոցառումների իրականացմանը (մասսայական սպորտային միջոցառումներին մասնակիցների թիվը կանխատեսվում է</w:t>
      </w:r>
      <w:r w:rsidR="009E0749" w:rsidRPr="0072477E">
        <w:rPr>
          <w:sz w:val="22"/>
          <w:szCs w:val="22"/>
          <w:lang w:val="hy-AM"/>
        </w:rPr>
        <w:t xml:space="preserve"> 3</w:t>
      </w:r>
      <w:r w:rsidRPr="0072477E">
        <w:rPr>
          <w:sz w:val="22"/>
          <w:szCs w:val="22"/>
          <w:lang w:val="hy-AM"/>
        </w:rPr>
        <w:t xml:space="preserve">7000), </w:t>
      </w:r>
      <w:r w:rsidR="00915270" w:rsidRPr="0072477E">
        <w:rPr>
          <w:sz w:val="22"/>
          <w:szCs w:val="22"/>
          <w:lang w:val="hy-AM"/>
        </w:rPr>
        <w:t>հ</w:t>
      </w:r>
      <w:r w:rsidR="002252C0" w:rsidRPr="0072477E">
        <w:rPr>
          <w:sz w:val="22"/>
          <w:szCs w:val="22"/>
          <w:lang w:val="hy-AM"/>
        </w:rPr>
        <w:t>անրության շրջանում առողջ ապրելակերպի խրախուսման</w:t>
      </w:r>
      <w:r w:rsidR="00915270" w:rsidRPr="0072477E">
        <w:rPr>
          <w:sz w:val="22"/>
          <w:szCs w:val="22"/>
          <w:lang w:val="hy-AM"/>
        </w:rPr>
        <w:t>ը</w:t>
      </w:r>
      <w:r w:rsidR="002252C0" w:rsidRPr="0072477E">
        <w:rPr>
          <w:sz w:val="22"/>
          <w:szCs w:val="22"/>
          <w:lang w:val="hy-AM"/>
        </w:rPr>
        <w:t xml:space="preserve"> և երթևեկության այլընտրանքային ձևերի խթանմ</w:t>
      </w:r>
      <w:r w:rsidR="00915270" w:rsidRPr="0072477E">
        <w:rPr>
          <w:sz w:val="22"/>
          <w:szCs w:val="22"/>
          <w:lang w:val="hy-AM"/>
        </w:rPr>
        <w:t>անը,</w:t>
      </w:r>
      <w:r w:rsidR="002252C0" w:rsidRPr="0072477E">
        <w:rPr>
          <w:sz w:val="22"/>
          <w:szCs w:val="22"/>
          <w:lang w:val="hy-AM"/>
        </w:rPr>
        <w:t xml:space="preserve"> </w:t>
      </w:r>
      <w:r w:rsidRPr="0072477E">
        <w:rPr>
          <w:sz w:val="22"/>
          <w:szCs w:val="22"/>
          <w:lang w:val="hy-AM"/>
        </w:rPr>
        <w:t>մարզական օբյեկտների շինարարությանը և հիմնանորոգմանը</w:t>
      </w:r>
      <w:r w:rsidR="0032750C">
        <w:rPr>
          <w:sz w:val="22"/>
          <w:szCs w:val="22"/>
          <w:lang w:val="hy-AM"/>
        </w:rPr>
        <w:t xml:space="preserve">, ինչպես նաև </w:t>
      </w:r>
      <w:r w:rsidR="00F33A1C">
        <w:rPr>
          <w:sz w:val="22"/>
          <w:szCs w:val="22"/>
          <w:lang w:val="hy-AM"/>
        </w:rPr>
        <w:t>ֆ</w:t>
      </w:r>
      <w:r w:rsidR="0032750C" w:rsidRPr="0032750C">
        <w:rPr>
          <w:sz w:val="22"/>
          <w:szCs w:val="22"/>
          <w:lang w:val="hy-AM"/>
        </w:rPr>
        <w:t>ուտբոլի ենթակառուցվածքների զարգացման նպատակով մարզադաշտերի կառուցմ</w:t>
      </w:r>
      <w:r w:rsidR="0032750C">
        <w:rPr>
          <w:sz w:val="22"/>
          <w:szCs w:val="22"/>
          <w:lang w:val="hy-AM"/>
        </w:rPr>
        <w:t>անը</w:t>
      </w:r>
      <w:r w:rsidR="00C63FE3" w:rsidRPr="0072477E">
        <w:rPr>
          <w:sz w:val="22"/>
          <w:szCs w:val="22"/>
          <w:lang w:val="hy-AM"/>
        </w:rPr>
        <w:t>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b/>
          <w:sz w:val="22"/>
          <w:szCs w:val="22"/>
          <w:lang w:val="hy-AM"/>
        </w:rPr>
      </w:pPr>
      <w:r w:rsidRPr="0072477E">
        <w:rPr>
          <w:b/>
          <w:sz w:val="22"/>
          <w:szCs w:val="22"/>
          <w:lang w:val="hy-AM"/>
        </w:rPr>
        <w:t>Երիտասարդության ծրագրի համար 202</w:t>
      </w:r>
      <w:r w:rsidR="0042790E" w:rsidRPr="0072477E">
        <w:rPr>
          <w:b/>
          <w:sz w:val="22"/>
          <w:szCs w:val="22"/>
          <w:lang w:val="hy-AM"/>
        </w:rPr>
        <w:t>6</w:t>
      </w:r>
      <w:r w:rsidRPr="0072477E">
        <w:rPr>
          <w:b/>
          <w:sz w:val="22"/>
          <w:szCs w:val="22"/>
          <w:lang w:val="hy-AM"/>
        </w:rPr>
        <w:t xml:space="preserve"> թվականին նախատեսվում է հատկացնել 2,</w:t>
      </w:r>
      <w:r w:rsidR="0042790E" w:rsidRPr="0072477E">
        <w:rPr>
          <w:b/>
          <w:sz w:val="22"/>
          <w:szCs w:val="22"/>
          <w:lang w:val="hy-AM"/>
        </w:rPr>
        <w:t>910</w:t>
      </w:r>
      <w:r w:rsidRPr="0072477E">
        <w:rPr>
          <w:b/>
          <w:sz w:val="22"/>
          <w:szCs w:val="22"/>
          <w:lang w:val="hy-AM"/>
        </w:rPr>
        <w:t>.</w:t>
      </w:r>
      <w:r w:rsidR="0042790E" w:rsidRPr="0072477E">
        <w:rPr>
          <w:b/>
          <w:sz w:val="22"/>
          <w:szCs w:val="22"/>
          <w:lang w:val="hy-AM"/>
        </w:rPr>
        <w:t>3</w:t>
      </w:r>
      <w:r w:rsidRPr="0072477E">
        <w:rPr>
          <w:b/>
          <w:sz w:val="22"/>
          <w:szCs w:val="22"/>
          <w:lang w:val="hy-AM"/>
        </w:rPr>
        <w:t xml:space="preserve"> մլն դրամ: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>Երիտասարդության ծրագրի նպատակն է նպաստել սոցիալ-տնտեսական, քաղաքական և մշակութային կյանքին երիտասարդների լիարժեք ներգրավմանը և նրանց ստեղծագործական ներուժի ամբողջական դրսևորմանը (հիմք՝ ՀՀ կառավարության «4.7 Երիտասարդություն» բաժին):</w:t>
      </w:r>
    </w:p>
    <w:p w:rsidR="001C5FD0" w:rsidRPr="0072477E" w:rsidRDefault="001C5FD0" w:rsidP="00B32086">
      <w:pPr>
        <w:pStyle w:val="BodyText1"/>
        <w:spacing w:line="23" w:lineRule="atLeast"/>
        <w:ind w:left="0" w:right="-360"/>
        <w:rPr>
          <w:sz w:val="22"/>
          <w:szCs w:val="22"/>
          <w:lang w:val="hy-AM"/>
        </w:rPr>
      </w:pPr>
      <w:r w:rsidRPr="0072477E">
        <w:rPr>
          <w:sz w:val="22"/>
          <w:szCs w:val="22"/>
          <w:lang w:val="hy-AM"/>
        </w:rPr>
        <w:t xml:space="preserve">Ծրագրի շրջանակներում հատկացումներն ուղղվելու են երիտասարդական պետական քաղաքականությանն ուղղված ծրագրերի և միջոցառումների, «ՀՀ տարվա երիտասարդական մայրաքաղաք» միջոցառման, երիտասարդական ծրագրերի շրջանակներում թրաֆիքինգի դեմ պայքարի միջոցառումների իրականացմանը, «Երիտասարդ ընտանիքին՝ մատչելի բնակարան» պետական նպատակային ծրագրի շրջանակներում երիտասարդ ընտանիքներին աջակցմանը (սուբսիդավորում ստացող ընտանիքների թիվը կկազմի </w:t>
      </w:r>
      <w:r w:rsidR="00C63FE3" w:rsidRPr="0072477E">
        <w:rPr>
          <w:sz w:val="22"/>
          <w:szCs w:val="22"/>
          <w:lang w:val="hy-AM"/>
        </w:rPr>
        <w:t>8398</w:t>
      </w:r>
      <w:r w:rsidRPr="0072477E">
        <w:rPr>
          <w:sz w:val="22"/>
          <w:szCs w:val="22"/>
          <w:lang w:val="hy-AM"/>
        </w:rPr>
        <w:t>):</w:t>
      </w:r>
    </w:p>
    <w:bookmarkEnd w:id="2"/>
    <w:p w:rsidR="001C5FD0" w:rsidRPr="0072477E" w:rsidRDefault="001C5FD0" w:rsidP="00B32086">
      <w:pPr>
        <w:pStyle w:val="ListParagraph"/>
        <w:spacing w:before="120" w:after="120" w:line="23" w:lineRule="atLeast"/>
        <w:ind w:left="0" w:right="-360"/>
        <w:jc w:val="both"/>
        <w:rPr>
          <w:rFonts w:ascii="GHEA Grapalat" w:hAnsi="GHEA Grapalat"/>
          <w:b/>
        </w:rPr>
      </w:pPr>
    </w:p>
    <w:sectPr w:rsidR="001C5FD0" w:rsidRPr="0072477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03" w:rsidRDefault="00131103" w:rsidP="00131103">
      <w:pPr>
        <w:spacing w:after="0" w:line="240" w:lineRule="auto"/>
      </w:pPr>
      <w:r>
        <w:separator/>
      </w:r>
    </w:p>
  </w:endnote>
  <w:endnote w:type="continuationSeparator" w:id="0">
    <w:p w:rsidR="00131103" w:rsidRDefault="00131103" w:rsidP="0013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3833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1103" w:rsidRDefault="001311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49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31103" w:rsidRDefault="00131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03" w:rsidRDefault="00131103" w:rsidP="00131103">
      <w:pPr>
        <w:spacing w:after="0" w:line="240" w:lineRule="auto"/>
      </w:pPr>
      <w:r>
        <w:separator/>
      </w:r>
    </w:p>
  </w:footnote>
  <w:footnote w:type="continuationSeparator" w:id="0">
    <w:p w:rsidR="00131103" w:rsidRDefault="00131103" w:rsidP="00131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77C0B"/>
    <w:multiLevelType w:val="multilevel"/>
    <w:tmpl w:val="D988BFD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8" w:hanging="108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2" w:hanging="2520"/>
      </w:pPr>
      <w:rPr>
        <w:rFonts w:hint="default"/>
      </w:rPr>
    </w:lvl>
  </w:abstractNum>
  <w:abstractNum w:abstractNumId="1" w15:restartNumberingAfterBreak="0">
    <w:nsid w:val="4C3D0F20"/>
    <w:multiLevelType w:val="multilevel"/>
    <w:tmpl w:val="EB64E820"/>
    <w:lvl w:ilvl="0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  <w:b/>
        <w:sz w:val="28"/>
      </w:rPr>
    </w:lvl>
    <w:lvl w:ilvl="1">
      <w:start w:val="13"/>
      <w:numFmt w:val="decimal"/>
      <w:isLgl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520"/>
      </w:pPr>
      <w:rPr>
        <w:rFonts w:hint="default"/>
      </w:rPr>
    </w:lvl>
  </w:abstractNum>
  <w:abstractNum w:abstractNumId="2" w15:restartNumberingAfterBreak="0">
    <w:nsid w:val="4DF7344B"/>
    <w:multiLevelType w:val="hybridMultilevel"/>
    <w:tmpl w:val="C91CC4E2"/>
    <w:lvl w:ilvl="0" w:tplc="3500BE6C">
      <w:start w:val="1"/>
      <w:numFmt w:val="bullet"/>
      <w:pStyle w:val="BodytextBullets"/>
      <w:lvlText w:val=""/>
      <w:lvlJc w:val="left"/>
      <w:pPr>
        <w:ind w:left="360" w:hanging="360"/>
      </w:pPr>
      <w:rPr>
        <w:rFonts w:ascii="Symbol" w:hAnsi="Symbol" w:hint="default"/>
        <w:color w:val="44546A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746AC"/>
    <w:multiLevelType w:val="multilevel"/>
    <w:tmpl w:val="0D0868C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7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1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1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6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D0"/>
    <w:rsid w:val="00023004"/>
    <w:rsid w:val="00040792"/>
    <w:rsid w:val="00040C51"/>
    <w:rsid w:val="000E7A64"/>
    <w:rsid w:val="000F2023"/>
    <w:rsid w:val="00116497"/>
    <w:rsid w:val="00126A8A"/>
    <w:rsid w:val="00131103"/>
    <w:rsid w:val="00164996"/>
    <w:rsid w:val="001823A8"/>
    <w:rsid w:val="001A12A4"/>
    <w:rsid w:val="001C5FD0"/>
    <w:rsid w:val="001E5035"/>
    <w:rsid w:val="002252C0"/>
    <w:rsid w:val="00236197"/>
    <w:rsid w:val="00242B3A"/>
    <w:rsid w:val="00267E81"/>
    <w:rsid w:val="00273B08"/>
    <w:rsid w:val="00290B80"/>
    <w:rsid w:val="002A1876"/>
    <w:rsid w:val="0032750C"/>
    <w:rsid w:val="00341FB3"/>
    <w:rsid w:val="003568E0"/>
    <w:rsid w:val="003675AF"/>
    <w:rsid w:val="003E7FAA"/>
    <w:rsid w:val="0040082F"/>
    <w:rsid w:val="0042790E"/>
    <w:rsid w:val="00456619"/>
    <w:rsid w:val="00490216"/>
    <w:rsid w:val="004A2062"/>
    <w:rsid w:val="00532E4F"/>
    <w:rsid w:val="00580B4D"/>
    <w:rsid w:val="00580BF4"/>
    <w:rsid w:val="005D3100"/>
    <w:rsid w:val="005D691B"/>
    <w:rsid w:val="00616F66"/>
    <w:rsid w:val="00667D3D"/>
    <w:rsid w:val="006B6969"/>
    <w:rsid w:val="006D45E8"/>
    <w:rsid w:val="0070135F"/>
    <w:rsid w:val="0071086D"/>
    <w:rsid w:val="0072477E"/>
    <w:rsid w:val="007306FE"/>
    <w:rsid w:val="00756BB4"/>
    <w:rsid w:val="007A3FA6"/>
    <w:rsid w:val="007A7A33"/>
    <w:rsid w:val="007C0B4B"/>
    <w:rsid w:val="007E1583"/>
    <w:rsid w:val="0080465B"/>
    <w:rsid w:val="00813E2D"/>
    <w:rsid w:val="0081789F"/>
    <w:rsid w:val="00833B84"/>
    <w:rsid w:val="00836AC9"/>
    <w:rsid w:val="0084335E"/>
    <w:rsid w:val="00905267"/>
    <w:rsid w:val="00915270"/>
    <w:rsid w:val="00916BCA"/>
    <w:rsid w:val="00973BCE"/>
    <w:rsid w:val="009A75E6"/>
    <w:rsid w:val="009E0749"/>
    <w:rsid w:val="009E535D"/>
    <w:rsid w:val="00A40AB6"/>
    <w:rsid w:val="00A63184"/>
    <w:rsid w:val="00A6537B"/>
    <w:rsid w:val="00A82EA7"/>
    <w:rsid w:val="00AF518D"/>
    <w:rsid w:val="00AF617A"/>
    <w:rsid w:val="00B12A82"/>
    <w:rsid w:val="00B14174"/>
    <w:rsid w:val="00B32086"/>
    <w:rsid w:val="00B42C8A"/>
    <w:rsid w:val="00B4433F"/>
    <w:rsid w:val="00B478E5"/>
    <w:rsid w:val="00B706CC"/>
    <w:rsid w:val="00B713B5"/>
    <w:rsid w:val="00B90891"/>
    <w:rsid w:val="00BB11CF"/>
    <w:rsid w:val="00C63474"/>
    <w:rsid w:val="00C63FE3"/>
    <w:rsid w:val="00CB177D"/>
    <w:rsid w:val="00CC405A"/>
    <w:rsid w:val="00CC69B3"/>
    <w:rsid w:val="00CD56F9"/>
    <w:rsid w:val="00CE5606"/>
    <w:rsid w:val="00D10768"/>
    <w:rsid w:val="00D46542"/>
    <w:rsid w:val="00D93C2C"/>
    <w:rsid w:val="00DB4FBA"/>
    <w:rsid w:val="00DB69C3"/>
    <w:rsid w:val="00DE43DD"/>
    <w:rsid w:val="00E42A1D"/>
    <w:rsid w:val="00E93A09"/>
    <w:rsid w:val="00E97AE0"/>
    <w:rsid w:val="00EB3E01"/>
    <w:rsid w:val="00F13080"/>
    <w:rsid w:val="00F33A1C"/>
    <w:rsid w:val="00F80606"/>
    <w:rsid w:val="00F970B5"/>
    <w:rsid w:val="00FA4BBA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4B53A-6EFD-47C3-BB03-DF403F3B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FD0"/>
    <w:pPr>
      <w:ind w:left="720"/>
      <w:contextualSpacing/>
    </w:pPr>
  </w:style>
  <w:style w:type="paragraph" w:customStyle="1" w:styleId="TOC3">
    <w:name w:val="TOC 3 | Ենթաբաժիններ"/>
    <w:basedOn w:val="Normal"/>
    <w:link w:val="TOC3Char"/>
    <w:qFormat/>
    <w:rsid w:val="001C5FD0"/>
    <w:pPr>
      <w:spacing w:before="480" w:after="360" w:line="276" w:lineRule="auto"/>
    </w:pPr>
    <w:rPr>
      <w:rFonts w:ascii="GHEA Grapalat" w:eastAsiaTheme="minorEastAsia" w:hAnsi="GHEA Grapalat"/>
      <w:color w:val="C9C9C9" w:themeColor="accent3" w:themeTint="99"/>
      <w:sz w:val="28"/>
      <w:szCs w:val="20"/>
    </w:rPr>
  </w:style>
  <w:style w:type="paragraph" w:customStyle="1" w:styleId="TOC4">
    <w:name w:val="TOC 4 | Վերնագրեր"/>
    <w:next w:val="Normal"/>
    <w:link w:val="TOC4Char"/>
    <w:qFormat/>
    <w:rsid w:val="001C5FD0"/>
    <w:pPr>
      <w:spacing w:before="360" w:after="0" w:line="276" w:lineRule="auto"/>
    </w:pPr>
    <w:rPr>
      <w:rFonts w:ascii="GHEA Grapalat" w:eastAsiaTheme="minorEastAsia" w:hAnsi="GHEA Grapalat"/>
      <w:color w:val="A6A6A6" w:themeColor="background1" w:themeShade="A6"/>
      <w:sz w:val="28"/>
      <w:szCs w:val="20"/>
    </w:rPr>
  </w:style>
  <w:style w:type="character" w:customStyle="1" w:styleId="TOC3Char">
    <w:name w:val="TOC 3 | Ենթաբաժիններ Char"/>
    <w:basedOn w:val="DefaultParagraphFont"/>
    <w:link w:val="TOC3"/>
    <w:rsid w:val="001C5FD0"/>
    <w:rPr>
      <w:rFonts w:ascii="GHEA Grapalat" w:eastAsiaTheme="minorEastAsia" w:hAnsi="GHEA Grapalat"/>
      <w:color w:val="C9C9C9" w:themeColor="accent3" w:themeTint="99"/>
      <w:sz w:val="28"/>
      <w:szCs w:val="20"/>
    </w:rPr>
  </w:style>
  <w:style w:type="paragraph" w:customStyle="1" w:styleId="BodyText1">
    <w:name w:val="Body Text1"/>
    <w:next w:val="Normal"/>
    <w:link w:val="BodytextChar"/>
    <w:qFormat/>
    <w:rsid w:val="001C5FD0"/>
    <w:pPr>
      <w:spacing w:before="120" w:after="120" w:line="276" w:lineRule="auto"/>
      <w:ind w:left="432"/>
      <w:jc w:val="both"/>
    </w:pPr>
    <w:rPr>
      <w:rFonts w:ascii="GHEA Grapalat" w:eastAsiaTheme="minorEastAsia" w:hAnsi="GHEA Grapalat"/>
      <w:color w:val="404040" w:themeColor="text1" w:themeTint="BF"/>
      <w:sz w:val="28"/>
      <w:szCs w:val="20"/>
    </w:rPr>
  </w:style>
  <w:style w:type="character" w:customStyle="1" w:styleId="TOC4Char">
    <w:name w:val="TOC 4 | Վերնագրեր Char"/>
    <w:basedOn w:val="TOC3Char"/>
    <w:link w:val="TOC4"/>
    <w:rsid w:val="001C5FD0"/>
    <w:rPr>
      <w:rFonts w:ascii="GHEA Grapalat" w:eastAsiaTheme="minorEastAsia" w:hAnsi="GHEA Grapalat"/>
      <w:color w:val="A6A6A6" w:themeColor="background1" w:themeShade="A6"/>
      <w:sz w:val="28"/>
      <w:szCs w:val="20"/>
    </w:rPr>
  </w:style>
  <w:style w:type="paragraph" w:customStyle="1" w:styleId="BodytextBullets">
    <w:name w:val="Body text | Bullets"/>
    <w:basedOn w:val="BodyText1"/>
    <w:link w:val="BodytextBulletsChar"/>
    <w:qFormat/>
    <w:rsid w:val="001C5FD0"/>
    <w:pPr>
      <w:numPr>
        <w:numId w:val="2"/>
      </w:numPr>
    </w:pPr>
  </w:style>
  <w:style w:type="character" w:customStyle="1" w:styleId="BodytextChar">
    <w:name w:val="Body text Char"/>
    <w:basedOn w:val="TOC4Char"/>
    <w:link w:val="BodyText1"/>
    <w:rsid w:val="001C5FD0"/>
    <w:rPr>
      <w:rFonts w:ascii="GHEA Grapalat" w:eastAsiaTheme="minorEastAsia" w:hAnsi="GHEA Grapalat"/>
      <w:color w:val="404040" w:themeColor="text1" w:themeTint="BF"/>
      <w:sz w:val="28"/>
      <w:szCs w:val="20"/>
    </w:rPr>
  </w:style>
  <w:style w:type="character" w:customStyle="1" w:styleId="BodytextBulletsChar">
    <w:name w:val="Body text | Bullets Char"/>
    <w:basedOn w:val="BodytextChar"/>
    <w:link w:val="BodytextBullets"/>
    <w:rsid w:val="001C5FD0"/>
    <w:rPr>
      <w:rFonts w:ascii="GHEA Grapalat" w:eastAsiaTheme="minorEastAsia" w:hAnsi="GHEA Grapalat"/>
      <w:color w:val="404040" w:themeColor="text1" w:themeTint="BF"/>
      <w:sz w:val="28"/>
      <w:szCs w:val="20"/>
    </w:rPr>
  </w:style>
  <w:style w:type="table" w:styleId="TableGrid">
    <w:name w:val="Table Grid"/>
    <w:basedOn w:val="TableNormal"/>
    <w:uiPriority w:val="39"/>
    <w:rsid w:val="002A187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5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47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31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03"/>
    <w:rPr>
      <w:lang w:val="hy-AM"/>
    </w:rPr>
  </w:style>
  <w:style w:type="paragraph" w:styleId="Footer">
    <w:name w:val="footer"/>
    <w:basedOn w:val="Normal"/>
    <w:link w:val="FooterChar"/>
    <w:uiPriority w:val="99"/>
    <w:unhideWhenUsed/>
    <w:rsid w:val="00131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03"/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hy-AM" sz="1000" b="1">
                <a:solidFill>
                  <a:schemeClr val="tx1"/>
                </a:solidFill>
                <a:latin typeface="GHEA Grapalat" panose="02000506050000020003" pitchFamily="50" charset="0"/>
              </a:rPr>
              <a:t>ՀՀ</a:t>
            </a:r>
            <a:r>
              <a:rPr lang="hy-AM" sz="1000" b="1" baseline="0">
                <a:solidFill>
                  <a:schemeClr val="tx1"/>
                </a:solidFill>
                <a:latin typeface="GHEA Grapalat" panose="02000506050000020003" pitchFamily="50" charset="0"/>
              </a:rPr>
              <a:t> ԿԳՄՍՆ կողմից </a:t>
            </a:r>
            <a:r>
              <a:rPr lang="en-US" sz="1000" b="1" baseline="0">
                <a:solidFill>
                  <a:schemeClr val="tx1"/>
                </a:solidFill>
                <a:latin typeface="GHEA Grapalat" panose="02000506050000020003" pitchFamily="50" charset="0"/>
              </a:rPr>
              <a:t> </a:t>
            </a:r>
            <a:r>
              <a:rPr lang="hy-AM" sz="1000" b="1" baseline="0">
                <a:solidFill>
                  <a:schemeClr val="tx1"/>
                </a:solidFill>
                <a:latin typeface="GHEA Grapalat" panose="02000506050000020003" pitchFamily="50" charset="0"/>
              </a:rPr>
              <a:t>իրականացվելիք ծախսերը</a:t>
            </a:r>
            <a:r>
              <a:rPr lang="en-US" sz="1000" b="1" baseline="0">
                <a:solidFill>
                  <a:schemeClr val="tx1"/>
                </a:solidFill>
                <a:latin typeface="GHEA Grapalat" panose="02000506050000020003" pitchFamily="50" charset="0"/>
              </a:rPr>
              <a:t> ըստ միջոցառումների տեսակների</a:t>
            </a:r>
          </a:p>
          <a:p>
            <a:pPr>
              <a:defRPr sz="1000" b="1">
                <a:solidFill>
                  <a:schemeClr val="tx1"/>
                </a:solidFill>
                <a:latin typeface="GHEA Grapalat" panose="02000506050000020003" pitchFamily="50" charset="0"/>
              </a:defRPr>
            </a:pPr>
            <a:r>
              <a:rPr lang="en-US" sz="1000" b="1" baseline="0">
                <a:solidFill>
                  <a:schemeClr val="tx1"/>
                </a:solidFill>
                <a:latin typeface="GHEA Grapalat" panose="02000506050000020003" pitchFamily="50" charset="0"/>
              </a:rPr>
              <a:t>(</a:t>
            </a:r>
            <a:r>
              <a:rPr lang="hy-AM" sz="1000" b="1" baseline="0">
                <a:solidFill>
                  <a:schemeClr val="tx1"/>
                </a:solidFill>
                <a:latin typeface="GHEA Grapalat" panose="02000506050000020003" pitchFamily="50" charset="0"/>
              </a:rPr>
              <a:t>հազար</a:t>
            </a:r>
            <a:r>
              <a:rPr lang="en-US" sz="1000" b="1" baseline="0">
                <a:solidFill>
                  <a:schemeClr val="tx1"/>
                </a:solidFill>
                <a:latin typeface="GHEA Grapalat" panose="02000506050000020003" pitchFamily="50" charset="0"/>
              </a:rPr>
              <a:t> դրամ և տեսակարար կշիռներն ընդհանուր ծախսերում)</a:t>
            </a:r>
            <a:endParaRPr lang="hy-AM" sz="1000" b="1">
              <a:solidFill>
                <a:schemeClr val="tx1"/>
              </a:solidFill>
              <a:latin typeface="GHEA Grapalat" panose="02000506050000020003" pitchFamily="50" charset="0"/>
            </a:endParaRPr>
          </a:p>
        </c:rich>
      </c:tx>
      <c:layout>
        <c:manualLayout>
          <c:xMode val="edge"/>
          <c:yMode val="edge"/>
          <c:x val="0.16135904886889141"/>
          <c:y val="3.06044376434583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160799677185456"/>
          <c:y val="0.24625236091650138"/>
          <c:w val="0.28635666600619403"/>
          <c:h val="0.73610889250472178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մլն դրամ</c:v>
                </c:pt>
              </c:strCache>
            </c:strRef>
          </c:tx>
          <c:dPt>
            <c:idx val="0"/>
            <c:bubble3D val="0"/>
            <c:spPr>
              <a:solidFill>
                <a:srgbClr val="87A4D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A4-49B9-84A3-9E140083E031}"/>
              </c:ext>
            </c:extLst>
          </c:dPt>
          <c:dPt>
            <c:idx val="1"/>
            <c:bubble3D val="0"/>
            <c:spPr>
              <a:solidFill>
                <a:srgbClr val="FF5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A4-49B9-84A3-9E140083E03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BA4-49B9-84A3-9E140083E031}"/>
              </c:ext>
            </c:extLst>
          </c:dPt>
          <c:dPt>
            <c:idx val="3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BA4-49B9-84A3-9E140083E031}"/>
              </c:ext>
            </c:extLst>
          </c:dPt>
          <c:dLbls>
            <c:dLbl>
              <c:idx val="0"/>
              <c:layout>
                <c:manualLayout>
                  <c:x val="0.11094387240056532"/>
                  <c:y val="-0.15654687666535153"/>
                </c:manualLayout>
              </c:layout>
              <c:tx>
                <c:rich>
                  <a:bodyPr/>
                  <a:lstStyle/>
                  <a:p>
                    <a:fld id="{9010ACED-9FE6-494C-B7E6-8C1B126B81B3}" type="VALUE">
                      <a:rPr lang="en-US"/>
                      <a:pPr/>
                      <a:t>[VALUE]</a:t>
                    </a:fld>
                    <a:r>
                      <a:rPr lang="en-US" baseline="0"/>
                      <a:t>,</a:t>
                    </a:r>
                  </a:p>
                  <a:p>
                    <a:fld id="{775B6ABE-A48F-4329-A599-1B4ADC0F118F}" type="PERCENTAGE">
                      <a:rPr lang="en-US" baseline="0"/>
                      <a:pPr/>
                      <a:t>[PERCENTAGE]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BA4-49B9-84A3-9E140083E031}"/>
                </c:ext>
              </c:extLst>
            </c:dLbl>
            <c:dLbl>
              <c:idx val="1"/>
              <c:layout>
                <c:manualLayout>
                  <c:x val="0"/>
                  <c:y val="3.447850305816969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BA4-49B9-84A3-9E140083E031}"/>
                </c:ext>
              </c:extLst>
            </c:dLbl>
            <c:dLbl>
              <c:idx val="2"/>
              <c:layout>
                <c:manualLayout>
                  <c:x val="-1.1719496601386365E-2"/>
                  <c:y val="-3.425972845771386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BA4-49B9-84A3-9E140083E031}"/>
                </c:ext>
              </c:extLst>
            </c:dLbl>
            <c:dLbl>
              <c:idx val="3"/>
              <c:layout>
                <c:manualLayout>
                  <c:x val="2.1881183121340523E-2"/>
                  <c:y val="8.0530369467293195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DBA4-49B9-84A3-9E140083E031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Ծառայությունների մատուցում</c:v>
                </c:pt>
                <c:pt idx="1">
                  <c:v>Տրանսֆերտների տրամադրում</c:v>
                </c:pt>
                <c:pt idx="2">
                  <c:v>Հանրության կողմից անմիջականորեն օգտագործվող ակտիվների հետ կապված միջոցառումներ</c:v>
                </c:pt>
                <c:pt idx="3">
                  <c:v>Այլ պետական կազմակերպությունների կողմից օգտագործվող ոչ ֆինանսական ակտիվների հետ գործառնություններ </c:v>
                </c:pt>
              </c:strCache>
            </c:strRef>
          </c:cat>
          <c:val>
            <c:numRef>
              <c:f>Sheet1!$B$2:$B$5</c:f>
              <c:numCache>
                <c:formatCode>##,##0.0;\(##,##0.0\);\-</c:formatCode>
                <c:ptCount val="4"/>
                <c:pt idx="0">
                  <c:v>215422850.5</c:v>
                </c:pt>
                <c:pt idx="1">
                  <c:v>50097730.100000001</c:v>
                </c:pt>
                <c:pt idx="2">
                  <c:v>2922774.6</c:v>
                </c:pt>
                <c:pt idx="3">
                  <c:v>151512455.09999999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BA4-49B9-84A3-9E140083E03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տեսակարար կշիռը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DBA4-49B9-84A3-9E140083E0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DBA4-49B9-84A3-9E140083E0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DBA4-49B9-84A3-9E140083E03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DBA4-49B9-84A3-9E140083E031}"/>
              </c:ext>
            </c:extLst>
          </c:dPt>
          <c:cat>
            <c:strRef>
              <c:f>Sheet1!$A$2:$A$5</c:f>
              <c:strCache>
                <c:ptCount val="4"/>
                <c:pt idx="0">
                  <c:v>Ծառայությունների մատուցում</c:v>
                </c:pt>
                <c:pt idx="1">
                  <c:v>Տրանսֆերտների տրամադրում</c:v>
                </c:pt>
                <c:pt idx="2">
                  <c:v>Հանրության կողմից անմիջականորեն օգտագործվող ակտիվների հետ կապված միջոցառումներ</c:v>
                </c:pt>
                <c:pt idx="3">
                  <c:v>Այլ պետական կազմակերպությունների կողմից օգտագործվող ոչ ֆինանսական ակտիվների հետ գործառնություններ 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1-DBA4-49B9-84A3-9E140083E0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09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6072197623686348"/>
          <c:y val="0.31601499095271035"/>
          <c:w val="0.41964332936792775"/>
          <c:h val="0.603265348186875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16</Pages>
  <Words>5343</Words>
  <Characters>30456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Edaryan</dc:creator>
  <cp:keywords/>
  <dc:description/>
  <cp:lastModifiedBy>Vladimir Edaryan</cp:lastModifiedBy>
  <cp:revision>92</cp:revision>
  <cp:lastPrinted>2025-11-18T12:48:00Z</cp:lastPrinted>
  <dcterms:created xsi:type="dcterms:W3CDTF">2025-09-05T12:19:00Z</dcterms:created>
  <dcterms:modified xsi:type="dcterms:W3CDTF">2025-11-27T06:13:00Z</dcterms:modified>
</cp:coreProperties>
</file>